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2F" w:rsidRPr="00DF5743" w:rsidRDefault="0032740E" w:rsidP="006B6589">
      <w:pPr>
        <w:pStyle w:val="Nagwek1"/>
        <w:numPr>
          <w:ilvl w:val="0"/>
          <w:numId w:val="0"/>
        </w:numPr>
        <w:rPr>
          <w:rFonts w:asciiTheme="majorHAnsi" w:hAnsiTheme="majorHAnsi"/>
          <w:color w:val="auto"/>
          <w:sz w:val="24"/>
          <w:szCs w:val="20"/>
        </w:rPr>
      </w:pPr>
      <w:r>
        <w:rPr>
          <w:rFonts w:asciiTheme="majorHAnsi" w:hAnsiTheme="majorHAnsi"/>
          <w:b/>
          <w:bCs w:val="0"/>
          <w:color w:val="auto"/>
          <w:sz w:val="24"/>
          <w:szCs w:val="20"/>
        </w:rPr>
        <w:t>Załącznik Nr 2 do SWZ – Szczegółowy opis przedmiotu zamówienia</w:t>
      </w:r>
    </w:p>
    <w:p w:rsidR="00523F2F" w:rsidRPr="00DF5743" w:rsidRDefault="00523F2F" w:rsidP="00523F2F">
      <w:pPr>
        <w:pStyle w:val="Tekstpodstawowy"/>
        <w:spacing w:line="276" w:lineRule="auto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 xml:space="preserve">Przedmiotem </w:t>
      </w:r>
      <w:r>
        <w:rPr>
          <w:rFonts w:asciiTheme="majorHAnsi" w:hAnsiTheme="majorHAnsi"/>
          <w:sz w:val="20"/>
          <w:szCs w:val="20"/>
        </w:rPr>
        <w:t>zamówienia</w:t>
      </w:r>
      <w:r w:rsidRPr="00DF5743">
        <w:rPr>
          <w:rFonts w:asciiTheme="majorHAnsi" w:hAnsiTheme="majorHAnsi"/>
          <w:sz w:val="20"/>
          <w:szCs w:val="20"/>
        </w:rPr>
        <w:t xml:space="preserve"> jest:</w:t>
      </w:r>
    </w:p>
    <w:p w:rsidR="00523F2F" w:rsidRPr="00DF5743" w:rsidRDefault="00523F2F" w:rsidP="00523F2F">
      <w:pPr>
        <w:pStyle w:val="Tekstpodstawowy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Subskrypcja aktualizacji dla licencji bezterminowych systemu WMS/Mediqus: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Szpital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HL7 - Szpital - licencja na połączenie, 11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 xml:space="preserve">Rehabilitacja - Potwierdzanie Zabiegów - licencja stanowiskowa, 5 szt. 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Powiadomienia SMS (Platforma Online)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Wyświetlacze (Sterowanie Ruchem Pacjentów)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Kiosk (samodzielna rejestracja) - licencja otwarta, 2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Elektroniczna Dokumentacja Medyczna - Szpital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Medycyna Pracy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E-Zwolnienia (eZLA)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Call Center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 xml:space="preserve">Blok Operacyjny - licencja stanowiskowa, 1 szt. 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 xml:space="preserve">Rozliczenia Komercyjne - licencja stanowiskowa, 1 szt. 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E-Ankiety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Skanowanie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 xml:space="preserve">Wydruki Centralne licencja otwarta, </w:t>
      </w:r>
      <w:r>
        <w:rPr>
          <w:rFonts w:asciiTheme="majorHAnsi" w:hAnsiTheme="majorHAnsi"/>
          <w:sz w:val="20"/>
          <w:szCs w:val="20"/>
        </w:rPr>
        <w:t>1</w:t>
      </w:r>
      <w:r w:rsidRPr="00DF5743">
        <w:rPr>
          <w:rFonts w:asciiTheme="majorHAnsi" w:hAnsiTheme="majorHAnsi"/>
          <w:sz w:val="20"/>
          <w:szCs w:val="20"/>
        </w:rPr>
        <w:t xml:space="preserve">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Autentyczność Leków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Rehabilitacja - Planowanie Zabiegów  - licencja stanowiskowa, 5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Medycyna Pracy - WOMP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Rozliczenia NFZ - licencja stanowiskowa, 61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 xml:space="preserve">Pracownia Diagnostyczna - licencja stanowiskowa, 10 szt. 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 xml:space="preserve">E-Skierowanie - licencja otwarta, 1 szt. 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Pracownia Radiologiczna - licencja stanowiskowa, 11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Zakażenia Szpitalne - licencja stanowiskowa,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color w:val="FF0000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 xml:space="preserve">Okulistyka - licencja stanowiskowa, 3 szt. 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E-Recepta - licencja otwarta, 1 szt.</w:t>
      </w:r>
    </w:p>
    <w:p w:rsidR="00523F2F" w:rsidRPr="00DF5743" w:rsidRDefault="00523F2F" w:rsidP="00523F2F">
      <w:pPr>
        <w:pStyle w:val="Tekstpodstawowy"/>
        <w:numPr>
          <w:ilvl w:val="1"/>
          <w:numId w:val="3"/>
        </w:numPr>
        <w:spacing w:line="276" w:lineRule="auto"/>
        <w:ind w:left="1418" w:hanging="306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Pakiet E-Pacjent (E-Rejestracja, E-Historia, E-Badanie Laboratoryjne, E-Badanie  Radiologiczne, E-Dokumentacja) - licencja otwarta, 1 szt.</w:t>
      </w:r>
    </w:p>
    <w:p w:rsidR="0032740E" w:rsidRDefault="00523F2F" w:rsidP="0032740E">
      <w:pPr>
        <w:pStyle w:val="Tekstpodstawowy"/>
        <w:numPr>
          <w:ilvl w:val="1"/>
          <w:numId w:val="3"/>
        </w:numPr>
        <w:spacing w:after="120"/>
        <w:ind w:left="1417" w:hanging="306"/>
        <w:contextualSpacing w:val="0"/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t>Pakiet E-Usługi (E-Ankieta, Płatności Online,</w:t>
      </w:r>
      <w:r>
        <w:rPr>
          <w:rFonts w:asciiTheme="majorHAnsi" w:hAnsiTheme="majorHAnsi"/>
          <w:sz w:val="20"/>
          <w:szCs w:val="20"/>
        </w:rPr>
        <w:t xml:space="preserve"> E-Porada, Zamówienie e-recept, </w:t>
      </w:r>
      <w:r>
        <w:rPr>
          <w:rFonts w:asciiTheme="majorHAnsi" w:hAnsiTheme="majorHAnsi"/>
          <w:sz w:val="20"/>
          <w:szCs w:val="20"/>
        </w:rPr>
        <w:br/>
      </w:r>
      <w:r w:rsidRPr="00DF5743">
        <w:rPr>
          <w:rFonts w:asciiTheme="majorHAnsi" w:hAnsiTheme="majorHAnsi"/>
          <w:sz w:val="20"/>
          <w:szCs w:val="20"/>
        </w:rPr>
        <w:t>E-</w:t>
      </w:r>
      <w:r>
        <w:rPr>
          <w:rFonts w:asciiTheme="majorHAnsi" w:hAnsiTheme="majorHAnsi"/>
          <w:sz w:val="20"/>
          <w:szCs w:val="20"/>
        </w:rPr>
        <w:t>W</w:t>
      </w:r>
      <w:r w:rsidRPr="00DF5743">
        <w:rPr>
          <w:rFonts w:asciiTheme="majorHAnsi" w:hAnsiTheme="majorHAnsi"/>
          <w:sz w:val="20"/>
          <w:szCs w:val="20"/>
        </w:rPr>
        <w:t>ypożyczalnia, E-Rehabilitacja, E-Deklaracje, E-Szkolenia) - licencja otwarta, 1 szt.;</w:t>
      </w:r>
    </w:p>
    <w:p w:rsidR="00523F2F" w:rsidRPr="0032740E" w:rsidRDefault="0032740E" w:rsidP="0032740E">
      <w:pPr>
        <w:pStyle w:val="Tekstpodstawowy"/>
        <w:numPr>
          <w:ilvl w:val="1"/>
          <w:numId w:val="3"/>
        </w:numPr>
        <w:spacing w:after="120"/>
        <w:ind w:left="1417" w:hanging="306"/>
        <w:contextualSpacing w:val="0"/>
        <w:rPr>
          <w:rFonts w:asciiTheme="majorHAnsi" w:hAnsiTheme="majorHAnsi"/>
          <w:sz w:val="20"/>
          <w:szCs w:val="20"/>
        </w:rPr>
      </w:pPr>
      <w:r w:rsidRPr="0032740E">
        <w:rPr>
          <w:rFonts w:asciiTheme="majorHAnsi" w:hAnsiTheme="majorHAnsi"/>
          <w:sz w:val="20"/>
          <w:szCs w:val="20"/>
        </w:rPr>
        <w:t xml:space="preserve">PACS </w:t>
      </w:r>
      <w:r w:rsidR="00523F2F" w:rsidRPr="0032740E">
        <w:rPr>
          <w:rFonts w:asciiTheme="majorHAnsi" w:hAnsiTheme="majorHAnsi"/>
          <w:sz w:val="20"/>
          <w:szCs w:val="20"/>
        </w:rPr>
        <w:t xml:space="preserve"> - </w:t>
      </w:r>
      <w:r w:rsidR="00673C98" w:rsidRPr="0032740E">
        <w:rPr>
          <w:rFonts w:asciiTheme="majorHAnsi" w:hAnsiTheme="majorHAnsi"/>
          <w:sz w:val="20"/>
          <w:szCs w:val="20"/>
        </w:rPr>
        <w:t>licencja stanowiskowa, 7</w:t>
      </w:r>
      <w:r w:rsidR="00523F2F" w:rsidRPr="0032740E">
        <w:rPr>
          <w:rFonts w:asciiTheme="majorHAnsi" w:hAnsiTheme="majorHAnsi"/>
          <w:sz w:val="20"/>
          <w:szCs w:val="20"/>
        </w:rPr>
        <w:t xml:space="preserve"> szt.</w:t>
      </w:r>
    </w:p>
    <w:p w:rsidR="00523F2F" w:rsidRPr="00DF5743" w:rsidRDefault="00523F2F" w:rsidP="00523F2F">
      <w:pPr>
        <w:pStyle w:val="Akapitzlist"/>
        <w:numPr>
          <w:ilvl w:val="0"/>
          <w:numId w:val="2"/>
        </w:numPr>
        <w:rPr>
          <w:rFonts w:asciiTheme="majorHAnsi" w:eastAsia="Times New Roman" w:hAnsiTheme="majorHAnsi"/>
          <w:sz w:val="20"/>
          <w:szCs w:val="20"/>
          <w:lang w:eastAsia="pl-PL"/>
        </w:rPr>
      </w:pPr>
      <w:r w:rsidRPr="00DF5743">
        <w:rPr>
          <w:rFonts w:asciiTheme="majorHAnsi" w:hAnsiTheme="majorHAnsi"/>
          <w:sz w:val="20"/>
          <w:szCs w:val="20"/>
        </w:rPr>
        <w:t>Usługa Opieki Technicznej.</w:t>
      </w:r>
    </w:p>
    <w:p w:rsidR="00523F2F" w:rsidRPr="00DF5743" w:rsidRDefault="00523F2F" w:rsidP="00523F2F">
      <w:pPr>
        <w:rPr>
          <w:rFonts w:asciiTheme="majorHAnsi" w:hAnsiTheme="majorHAnsi"/>
          <w:sz w:val="20"/>
          <w:szCs w:val="20"/>
        </w:rPr>
      </w:pPr>
    </w:p>
    <w:p w:rsidR="00523F2F" w:rsidRPr="00DF5743" w:rsidRDefault="00523F2F" w:rsidP="00523F2F">
      <w:pPr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/>
          <w:sz w:val="20"/>
          <w:szCs w:val="20"/>
        </w:rPr>
        <w:br w:type="page"/>
      </w:r>
    </w:p>
    <w:p w:rsidR="00523F2F" w:rsidRPr="00DF5743" w:rsidRDefault="00523F2F" w:rsidP="00523F2F">
      <w:pPr>
        <w:pStyle w:val="Nagwek1"/>
        <w:numPr>
          <w:ilvl w:val="0"/>
          <w:numId w:val="0"/>
        </w:numPr>
        <w:jc w:val="center"/>
        <w:rPr>
          <w:rFonts w:asciiTheme="majorHAnsi" w:hAnsiTheme="majorHAnsi"/>
          <w:b/>
          <w:bCs w:val="0"/>
          <w:color w:val="auto"/>
          <w:sz w:val="24"/>
          <w:szCs w:val="20"/>
        </w:rPr>
      </w:pPr>
      <w:bookmarkStart w:id="0" w:name="_Toc19624409"/>
      <w:bookmarkStart w:id="1" w:name="_Toc38453720"/>
      <w:r w:rsidRPr="00DF5743">
        <w:rPr>
          <w:rFonts w:asciiTheme="majorHAnsi" w:hAnsiTheme="majorHAnsi"/>
          <w:b/>
          <w:bCs w:val="0"/>
          <w:color w:val="auto"/>
          <w:sz w:val="24"/>
          <w:szCs w:val="20"/>
        </w:rPr>
        <w:lastRenderedPageBreak/>
        <w:t>Informacje dodatkowe</w:t>
      </w:r>
      <w:bookmarkEnd w:id="0"/>
      <w:bookmarkEnd w:id="1"/>
    </w:p>
    <w:p w:rsidR="00523F2F" w:rsidRPr="00DF5743" w:rsidRDefault="00523F2F" w:rsidP="00523F2F">
      <w:pPr>
        <w:pStyle w:val="Tekstpodstawowy"/>
        <w:rPr>
          <w:rFonts w:asciiTheme="majorHAnsi" w:hAnsiTheme="majorHAnsi"/>
          <w:sz w:val="20"/>
          <w:szCs w:val="20"/>
        </w:rPr>
      </w:pPr>
    </w:p>
    <w:p w:rsidR="00523F2F" w:rsidRPr="00DF5743" w:rsidRDefault="00523F2F" w:rsidP="006B6589">
      <w:pPr>
        <w:pStyle w:val="Tekstpodstawowy"/>
        <w:ind w:firstLine="0"/>
        <w:rPr>
          <w:rFonts w:asciiTheme="majorHAnsi" w:hAnsiTheme="majorHAnsi" w:cstheme="minorHAnsi"/>
          <w:b/>
          <w:color w:val="000000"/>
          <w:sz w:val="20"/>
          <w:szCs w:val="20"/>
        </w:rPr>
      </w:pPr>
      <w:r w:rsidRPr="00DF5743">
        <w:rPr>
          <w:rFonts w:asciiTheme="majorHAnsi" w:hAnsiTheme="majorHAnsi" w:cstheme="minorHAnsi"/>
          <w:b/>
          <w:color w:val="000000"/>
          <w:sz w:val="20"/>
          <w:szCs w:val="20"/>
        </w:rPr>
        <w:t>Usługi Serwisu</w:t>
      </w:r>
    </w:p>
    <w:p w:rsidR="00523F2F" w:rsidRPr="00DF5743" w:rsidRDefault="00523F2F" w:rsidP="00523F2F">
      <w:pPr>
        <w:pStyle w:val="Tekstpodstawowy"/>
        <w:rPr>
          <w:rFonts w:asciiTheme="majorHAnsi" w:hAnsiTheme="majorHAnsi"/>
          <w:sz w:val="20"/>
          <w:szCs w:val="20"/>
        </w:rPr>
      </w:pPr>
    </w:p>
    <w:p w:rsidR="00523F2F" w:rsidRPr="00DF5743" w:rsidRDefault="00523F2F" w:rsidP="00523F2F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Kategorie zgłoszeń serwisowych:</w:t>
      </w:r>
    </w:p>
    <w:p w:rsidR="00523F2F" w:rsidRPr="00DF5743" w:rsidRDefault="00523F2F" w:rsidP="00523F2F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Awaria – oznacza całkowity brak dostępności Systemu Mediqus dla Użytkownika;</w:t>
      </w:r>
    </w:p>
    <w:p w:rsidR="00523F2F" w:rsidRPr="00DF5743" w:rsidRDefault="00523F2F" w:rsidP="00523F2F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Błąd – oznacza nieprawidłowe działanie Systemu Mediqus w zakresie podstawowych funkcji Systemu Mediqus;</w:t>
      </w:r>
    </w:p>
    <w:p w:rsidR="00523F2F" w:rsidRPr="00DF5743" w:rsidRDefault="00523F2F" w:rsidP="00523F2F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Usterka – oznacza nieprawidłowe działanie Systemu Mediqus inne niż Awaria i Błąd.</w:t>
      </w:r>
    </w:p>
    <w:p w:rsidR="00523F2F" w:rsidRPr="00DF5743" w:rsidRDefault="00523F2F" w:rsidP="00523F2F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Czas reakcji Wykonawcy w ramach Usługi Serwisu wynosi:</w:t>
      </w:r>
    </w:p>
    <w:p w:rsidR="00523F2F" w:rsidRPr="00DF5743" w:rsidRDefault="00523F2F" w:rsidP="00523F2F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 xml:space="preserve">dla Awarii - do 8 (ośmiu) godzin w dni robocze w godzinach 09:00 – 16:00, </w:t>
      </w:r>
    </w:p>
    <w:p w:rsidR="00523F2F" w:rsidRPr="00DF5743" w:rsidRDefault="00523F2F" w:rsidP="00523F2F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  <w:u w:val="single"/>
        </w:rPr>
      </w:pPr>
      <w:r w:rsidRPr="00DF5743">
        <w:rPr>
          <w:rFonts w:asciiTheme="majorHAnsi" w:hAnsiTheme="majorHAnsi" w:cstheme="minorHAnsi"/>
          <w:sz w:val="20"/>
          <w:szCs w:val="20"/>
        </w:rPr>
        <w:t>dla Błędów - do 12 (dwunastu) godzin w dni robocze w godzinach 09:00 – 16:00,</w:t>
      </w:r>
    </w:p>
    <w:p w:rsidR="00523F2F" w:rsidRPr="00DF5743" w:rsidRDefault="00523F2F" w:rsidP="00523F2F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Theme="majorHAnsi" w:hAnsiTheme="majorHAnsi" w:cstheme="minorHAnsi"/>
          <w:sz w:val="20"/>
          <w:szCs w:val="20"/>
          <w:u w:val="single"/>
        </w:rPr>
      </w:pPr>
      <w:r w:rsidRPr="00DF5743">
        <w:rPr>
          <w:rFonts w:asciiTheme="majorHAnsi" w:hAnsiTheme="majorHAnsi" w:cstheme="minorHAnsi"/>
          <w:sz w:val="20"/>
          <w:szCs w:val="20"/>
        </w:rPr>
        <w:t>dla Usterki - do 24 (dwudziestu czterech) godzin w dni robocze w godzinach 09:00 – 16:00.</w:t>
      </w:r>
    </w:p>
    <w:p w:rsidR="00523F2F" w:rsidRPr="00DF5743" w:rsidRDefault="00523F2F" w:rsidP="00523F2F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 xml:space="preserve">Czas reakcji to maksymalny czas, liczony od momentu dokonania przez Zamawiającego zgłoszenia serwisowego, w którym Wykonawca jest zobowiązany potwierdzić przyjęcie zgłoszenia. </w:t>
      </w:r>
    </w:p>
    <w:p w:rsidR="00523F2F" w:rsidRPr="00DF5743" w:rsidRDefault="00523F2F" w:rsidP="00523F2F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Czas naprawy Wykonawcy w ramach Usługi Serwisu wynosi:</w:t>
      </w:r>
    </w:p>
    <w:p w:rsidR="00523F2F" w:rsidRPr="00DF5743" w:rsidRDefault="00523F2F" w:rsidP="00523F2F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  <w:u w:val="single"/>
        </w:rPr>
      </w:pPr>
      <w:r w:rsidRPr="00DF5743">
        <w:rPr>
          <w:rFonts w:asciiTheme="majorHAnsi" w:hAnsiTheme="majorHAnsi" w:cstheme="minorHAnsi"/>
          <w:sz w:val="20"/>
          <w:szCs w:val="20"/>
        </w:rPr>
        <w:t xml:space="preserve">dla Awarii </w:t>
      </w:r>
      <w:r w:rsidR="0032740E">
        <w:rPr>
          <w:rFonts w:asciiTheme="majorHAnsi" w:hAnsiTheme="majorHAnsi" w:cstheme="minorHAnsi"/>
          <w:sz w:val="20"/>
          <w:szCs w:val="20"/>
        </w:rPr>
        <w:t>–</w:t>
      </w:r>
      <w:r w:rsidRPr="00DF5743">
        <w:rPr>
          <w:rFonts w:asciiTheme="majorHAnsi" w:hAnsiTheme="majorHAnsi" w:cstheme="minorHAnsi"/>
          <w:sz w:val="20"/>
          <w:szCs w:val="20"/>
        </w:rPr>
        <w:t xml:space="preserve"> </w:t>
      </w:r>
      <w:r w:rsidR="0032740E">
        <w:rPr>
          <w:rFonts w:asciiTheme="majorHAnsi" w:hAnsiTheme="majorHAnsi" w:cstheme="minorHAnsi"/>
          <w:sz w:val="20"/>
          <w:szCs w:val="20"/>
        </w:rPr>
        <w:t xml:space="preserve">maksymalnie </w:t>
      </w:r>
      <w:r w:rsidRPr="00DF5743">
        <w:rPr>
          <w:rFonts w:asciiTheme="majorHAnsi" w:hAnsiTheme="majorHAnsi" w:cstheme="minorHAnsi"/>
          <w:sz w:val="20"/>
          <w:szCs w:val="20"/>
        </w:rPr>
        <w:t>do 12 (dwunastu) godzin w dni robocze,</w:t>
      </w:r>
      <w:r w:rsidR="0032740E">
        <w:rPr>
          <w:rFonts w:asciiTheme="majorHAnsi" w:hAnsiTheme="majorHAnsi" w:cstheme="minorHAnsi"/>
          <w:sz w:val="20"/>
          <w:szCs w:val="20"/>
        </w:rPr>
        <w:t xml:space="preserve"> dokładny </w:t>
      </w:r>
      <w:r w:rsidR="0032740E" w:rsidRPr="00DF5743">
        <w:rPr>
          <w:rFonts w:asciiTheme="majorHAnsi" w:hAnsiTheme="majorHAnsi" w:cstheme="minorHAnsi"/>
          <w:sz w:val="20"/>
          <w:szCs w:val="20"/>
        </w:rPr>
        <w:t>czas</w:t>
      </w:r>
      <w:r w:rsidR="0032740E">
        <w:rPr>
          <w:rFonts w:asciiTheme="majorHAnsi" w:hAnsiTheme="majorHAnsi" w:cstheme="minorHAnsi"/>
          <w:sz w:val="20"/>
          <w:szCs w:val="20"/>
        </w:rPr>
        <w:t xml:space="preserve"> naprawy dla zgłoszonej awarii zostanie podany w formularzu ofertowym przez Wykonawcę</w:t>
      </w:r>
    </w:p>
    <w:p w:rsidR="00523F2F" w:rsidRPr="00DF5743" w:rsidRDefault="00523F2F" w:rsidP="00523F2F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 xml:space="preserve">dla  Błędu -  do 48 (czterdziestu ośmiu) godzin w dni robocze, </w:t>
      </w:r>
    </w:p>
    <w:p w:rsidR="00523F2F" w:rsidRPr="00DF5743" w:rsidRDefault="00523F2F" w:rsidP="00523F2F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 xml:space="preserve">dla Usterki - do 30 (trzydziestu) dni roboczych. </w:t>
      </w:r>
    </w:p>
    <w:p w:rsidR="00523F2F" w:rsidRPr="00DF5743" w:rsidRDefault="00523F2F" w:rsidP="00523F2F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Usunięcie Awarii/Błędu/Usterki to maksymalny czas, w którym Wykonawca zobowiązuje się przywrócić prawidłowe działanie Systemu Mediqus (lub zapewnić rozwiązanie tymczasowe dla zgłoszonej Awarii/Błędu/Usterki). Czas liczony jest od chwili potwierdzenia przyjęcia zgłoszenia przez Wykonawcę, do chwili usunięcia Awarii/Błędu/Usterki lub zapewnienia rozwiązania tymczasowego dla zgłoszonej Awarii/Błędu/Usterki.</w:t>
      </w:r>
    </w:p>
    <w:p w:rsidR="00523F2F" w:rsidRPr="00DF5743" w:rsidRDefault="00523F2F" w:rsidP="00523F2F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W przypadku, gdy usunięcie Awarii/Błędu/Usterki nie jest możliwe w terminach wskazanych w pkt 5, Wykonawca zobowiązany jest we wskazanych terminach do zapewnienia rozwiązania tymczasowego. Rozwiązanie tymczasowe będzie zastąpione przez rozwiązanie docelowe w terminie nieprzekraczającym 30 (trzydziestu) dni roboczych od zastosowania rozwiązania tymczasowego.</w:t>
      </w:r>
    </w:p>
    <w:p w:rsidR="00523F2F" w:rsidRPr="00DF5743" w:rsidRDefault="00523F2F" w:rsidP="00523F2F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Usunięcie Awarii/Błędu/Usterki w ramach rozwiązania tymczasowego traktowane jest jako usunięcie Awarii/Błędu/Usterki w czasie naprawy wskazanym w pkt 5 powyżej.</w:t>
      </w:r>
    </w:p>
    <w:p w:rsidR="00523F2F" w:rsidRPr="00762AA5" w:rsidRDefault="00523F2F" w:rsidP="00523F2F">
      <w:pPr>
        <w:numPr>
          <w:ilvl w:val="0"/>
          <w:numId w:val="4"/>
        </w:numPr>
        <w:spacing w:after="120" w:line="240" w:lineRule="auto"/>
        <w:ind w:left="363" w:hanging="357"/>
        <w:jc w:val="both"/>
        <w:rPr>
          <w:rFonts w:asciiTheme="majorHAnsi" w:hAnsiTheme="majorHAnsi" w:cstheme="minorHAnsi"/>
          <w:sz w:val="20"/>
          <w:szCs w:val="20"/>
        </w:rPr>
      </w:pPr>
      <w:r w:rsidRPr="00762AA5">
        <w:rPr>
          <w:rFonts w:asciiTheme="majorHAnsi" w:hAnsiTheme="majorHAnsi" w:cstheme="minorHAnsi"/>
          <w:sz w:val="20"/>
          <w:szCs w:val="20"/>
        </w:rPr>
        <w:t>Dla uniknięcia wątpliwości Strony potwierdzają, że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  <w:r w:rsidRPr="00762AA5">
        <w:rPr>
          <w:rFonts w:asciiTheme="majorHAnsi" w:hAnsiTheme="majorHAnsi" w:cstheme="minorHAnsi"/>
          <w:sz w:val="20"/>
          <w:szCs w:val="20"/>
        </w:rPr>
        <w:t>podstawową funkcją Systemu Mediqus jest: mechanizm rozliczeń kontraktów z NFZ, Rejestracja w Poradni, Rejestracja Zleceń i wprowadzanie wyników badań  w Diagnostyce, weryfikacja statusu ubezpiec</w:t>
      </w:r>
      <w:r>
        <w:rPr>
          <w:rFonts w:asciiTheme="majorHAnsi" w:hAnsiTheme="majorHAnsi" w:cstheme="minorHAnsi"/>
          <w:sz w:val="20"/>
          <w:szCs w:val="20"/>
        </w:rPr>
        <w:t>zenia pacjenta w systemie eWUŚ.</w:t>
      </w:r>
    </w:p>
    <w:p w:rsidR="00523F2F" w:rsidRPr="00455532" w:rsidRDefault="00523F2F" w:rsidP="00523F2F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Theme="majorHAnsi" w:hAnsiTheme="majorHAnsi" w:cstheme="minorHAnsi"/>
          <w:sz w:val="20"/>
          <w:szCs w:val="20"/>
        </w:rPr>
      </w:pPr>
      <w:r w:rsidRPr="00455532">
        <w:rPr>
          <w:rFonts w:asciiTheme="majorHAnsi" w:hAnsiTheme="majorHAnsi" w:cstheme="minorHAnsi"/>
          <w:sz w:val="20"/>
          <w:szCs w:val="20"/>
        </w:rPr>
        <w:t>Wykonawca zobowiązuje się do świadczenia na rzecz Zamawiającego Usługi Serwisu, na każde uzasadnione żądanie Zamawiającego, za pośrednictwem łącz transmisji danych (technologia zdalnego pulpitu), oraz w miejscu wdrożenia Systemu Mediqus (on-site).</w:t>
      </w:r>
    </w:p>
    <w:p w:rsidR="00523F2F" w:rsidRDefault="00523F2F" w:rsidP="00523F2F">
      <w:pPr>
        <w:ind w:left="360"/>
        <w:rPr>
          <w:rFonts w:asciiTheme="majorHAnsi" w:hAnsiTheme="majorHAnsi"/>
          <w:sz w:val="20"/>
          <w:szCs w:val="20"/>
        </w:rPr>
      </w:pPr>
    </w:p>
    <w:p w:rsidR="00523F2F" w:rsidRPr="00DF5743" w:rsidRDefault="00523F2F" w:rsidP="006B6589">
      <w:pPr>
        <w:rPr>
          <w:rFonts w:asciiTheme="majorHAnsi" w:hAnsiTheme="majorHAnsi"/>
          <w:sz w:val="20"/>
          <w:szCs w:val="20"/>
        </w:rPr>
      </w:pPr>
      <w:r w:rsidRPr="00DF5743">
        <w:rPr>
          <w:rFonts w:asciiTheme="majorHAnsi" w:hAnsiTheme="majorHAnsi" w:cstheme="minorHAnsi"/>
          <w:b/>
          <w:sz w:val="20"/>
          <w:szCs w:val="20"/>
        </w:rPr>
        <w:t>Usługi Subskrypcji</w:t>
      </w:r>
    </w:p>
    <w:p w:rsidR="00523F2F" w:rsidRPr="00DF5743" w:rsidRDefault="00523F2F" w:rsidP="00523F2F">
      <w:pPr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 xml:space="preserve">W ramach Usługi Subskrypcji, Wykonawca zobowiązuje się do udostępnienia aktualizacji Systemu Mediqus wraz ze specyfikacją opisującą zmiany dla udostępnianej wersji Systemu Mediqus. </w:t>
      </w:r>
    </w:p>
    <w:p w:rsidR="00523F2F" w:rsidRPr="00DF5743" w:rsidRDefault="00523F2F" w:rsidP="00523F2F">
      <w:pPr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 xml:space="preserve">Aktualizacje zapewniające utrzymanie Systemu Mediqus w zgodności z przepisami prawa zostaną udostępnione Zamawiającemu nie później niż w terminie 10 (dziesięciu) dni roboczych od dnia wejścia w życie przepisów prawa lub ich zmian. </w:t>
      </w:r>
    </w:p>
    <w:p w:rsidR="00523F2F" w:rsidRPr="00DF5743" w:rsidRDefault="00523F2F" w:rsidP="00523F2F">
      <w:pPr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 xml:space="preserve">Aktualizacje wynikające z wewnętrznego rozwoju Systemu Mediqus będą udostępniane Zamawiającemu zgodnie z terminem określonym jednostronnie przez Wykonawcę. </w:t>
      </w:r>
    </w:p>
    <w:p w:rsidR="00523F2F" w:rsidRPr="00DF5743" w:rsidRDefault="00523F2F" w:rsidP="00523F2F">
      <w:pPr>
        <w:rPr>
          <w:rFonts w:asciiTheme="majorHAnsi" w:hAnsiTheme="majorHAnsi" w:cstheme="minorHAnsi"/>
          <w:sz w:val="20"/>
          <w:szCs w:val="20"/>
        </w:rPr>
      </w:pPr>
    </w:p>
    <w:p w:rsidR="00523F2F" w:rsidRPr="00DF5743" w:rsidRDefault="00523F2F" w:rsidP="006B6589">
      <w:pPr>
        <w:rPr>
          <w:rFonts w:asciiTheme="majorHAnsi" w:hAnsiTheme="majorHAnsi" w:cstheme="minorHAnsi"/>
          <w:b/>
          <w:color w:val="000000"/>
          <w:sz w:val="20"/>
          <w:szCs w:val="20"/>
        </w:rPr>
      </w:pPr>
      <w:r w:rsidRPr="00DF5743">
        <w:rPr>
          <w:rFonts w:asciiTheme="majorHAnsi" w:hAnsiTheme="majorHAnsi" w:cstheme="minorHAnsi"/>
          <w:b/>
          <w:color w:val="000000"/>
          <w:sz w:val="20"/>
          <w:szCs w:val="20"/>
        </w:rPr>
        <w:t>Doradztwo Techniczne</w:t>
      </w:r>
    </w:p>
    <w:p w:rsidR="00523F2F" w:rsidRPr="00DF5743" w:rsidRDefault="00523F2F" w:rsidP="00523F2F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lastRenderedPageBreak/>
        <w:t>Usługa Doradztwa Technicznego świadczona jest w ramach Usługi Serwisu.</w:t>
      </w:r>
    </w:p>
    <w:p w:rsidR="00523F2F" w:rsidRPr="00DF5743" w:rsidRDefault="00523F2F" w:rsidP="00523F2F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Usługa Doradztwa Technicznego obejmuje usługi konsultacji i porad w zakresie eksploatacji Systemu Mediqus, co do zagadnień informatycznych i merytorycznych związanych z użytkowaniem Systemu Mediqus oraz usługi wsparcia w procesie instalacji aktualizacji S</w:t>
      </w:r>
      <w:r>
        <w:rPr>
          <w:rFonts w:asciiTheme="majorHAnsi" w:hAnsiTheme="majorHAnsi" w:cstheme="minorHAnsi"/>
          <w:sz w:val="20"/>
          <w:szCs w:val="20"/>
        </w:rPr>
        <w:t>ystemu Mediqus udostępnianych w </w:t>
      </w:r>
      <w:r w:rsidRPr="00DF5743">
        <w:rPr>
          <w:rFonts w:asciiTheme="majorHAnsi" w:hAnsiTheme="majorHAnsi" w:cstheme="minorHAnsi"/>
          <w:sz w:val="20"/>
          <w:szCs w:val="20"/>
        </w:rPr>
        <w:t>ramach Usługi Subskrypcji.</w:t>
      </w:r>
    </w:p>
    <w:p w:rsidR="00523F2F" w:rsidRPr="00DF5743" w:rsidRDefault="00523F2F" w:rsidP="00523F2F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Łączny wymiar usług Doradztwa Technicznego w miesięc</w:t>
      </w:r>
      <w:r>
        <w:rPr>
          <w:rFonts w:asciiTheme="majorHAnsi" w:hAnsiTheme="majorHAnsi" w:cstheme="minorHAnsi"/>
          <w:sz w:val="20"/>
          <w:szCs w:val="20"/>
        </w:rPr>
        <w:t>znym okresie rozliczeniowym nie </w:t>
      </w:r>
      <w:r w:rsidRPr="00DF5743">
        <w:rPr>
          <w:rFonts w:asciiTheme="majorHAnsi" w:hAnsiTheme="majorHAnsi" w:cstheme="minorHAnsi"/>
          <w:sz w:val="20"/>
          <w:szCs w:val="20"/>
        </w:rPr>
        <w:t>przekroczy 3 (trzech) roboczogodzin.</w:t>
      </w:r>
    </w:p>
    <w:p w:rsidR="00523F2F" w:rsidRPr="00DF5743" w:rsidRDefault="00523F2F" w:rsidP="00523F2F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Niewykorzystane godziny Doradztwa Technicznego w miesięc</w:t>
      </w:r>
      <w:r>
        <w:rPr>
          <w:rFonts w:asciiTheme="majorHAnsi" w:hAnsiTheme="majorHAnsi" w:cstheme="minorHAnsi"/>
          <w:sz w:val="20"/>
          <w:szCs w:val="20"/>
        </w:rPr>
        <w:t>znym okresie rozliczeniowym nie </w:t>
      </w:r>
      <w:r w:rsidRPr="00DF5743">
        <w:rPr>
          <w:rFonts w:asciiTheme="majorHAnsi" w:hAnsiTheme="majorHAnsi" w:cstheme="minorHAnsi"/>
          <w:sz w:val="20"/>
          <w:szCs w:val="20"/>
        </w:rPr>
        <w:t>przechodzą na kolejne miesięczne okresy rozliczeniowe.</w:t>
      </w:r>
    </w:p>
    <w:p w:rsidR="00523F2F" w:rsidRPr="00DF5743" w:rsidRDefault="00523F2F" w:rsidP="00523F2F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Usługi Doradztwa Technicznego świadczone są przez Wykonawcę wyłącznie za pośrednictwem środków porozumiewania się na odległość (telefon, poczta elektroniczna) lub za pośrednictwem łącz transmisji danych (technologia zdalnego pulpitu).</w:t>
      </w:r>
    </w:p>
    <w:p w:rsidR="00523F2F" w:rsidRPr="00DF5743" w:rsidRDefault="00523F2F" w:rsidP="00523F2F">
      <w:pPr>
        <w:rPr>
          <w:rFonts w:asciiTheme="majorHAnsi" w:hAnsiTheme="majorHAnsi" w:cstheme="minorHAnsi"/>
          <w:sz w:val="20"/>
          <w:szCs w:val="20"/>
        </w:rPr>
      </w:pPr>
    </w:p>
    <w:p w:rsidR="00523F2F" w:rsidRPr="00DF5743" w:rsidRDefault="00523F2F" w:rsidP="006B6589">
      <w:pPr>
        <w:rPr>
          <w:rFonts w:asciiTheme="majorHAnsi" w:hAnsiTheme="majorHAnsi" w:cstheme="minorHAnsi"/>
          <w:b/>
          <w:color w:val="000000"/>
          <w:sz w:val="20"/>
          <w:szCs w:val="20"/>
        </w:rPr>
      </w:pPr>
      <w:bookmarkStart w:id="2" w:name="_GoBack"/>
      <w:bookmarkEnd w:id="2"/>
      <w:r w:rsidRPr="00DF5743">
        <w:rPr>
          <w:rFonts w:asciiTheme="majorHAnsi" w:hAnsiTheme="majorHAnsi" w:cstheme="minorHAnsi"/>
          <w:b/>
          <w:color w:val="000000"/>
          <w:sz w:val="20"/>
          <w:szCs w:val="20"/>
        </w:rPr>
        <w:t>Usługi Opieki Technicznej</w:t>
      </w:r>
    </w:p>
    <w:p w:rsidR="00523F2F" w:rsidRPr="00DF5743" w:rsidRDefault="00523F2F" w:rsidP="00523F2F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Theme="majorHAnsi" w:hAnsiTheme="majorHAnsi" w:cstheme="minorHAnsi"/>
          <w:sz w:val="20"/>
          <w:szCs w:val="20"/>
        </w:rPr>
      </w:pPr>
      <w:r w:rsidRPr="00DF5743">
        <w:rPr>
          <w:rFonts w:asciiTheme="majorHAnsi" w:hAnsiTheme="majorHAnsi" w:cstheme="minorHAnsi"/>
          <w:sz w:val="20"/>
          <w:szCs w:val="20"/>
        </w:rPr>
        <w:t>Usługi Opie</w:t>
      </w:r>
      <w:r w:rsidR="003D6952">
        <w:rPr>
          <w:rFonts w:asciiTheme="majorHAnsi" w:hAnsiTheme="majorHAnsi" w:cstheme="minorHAnsi"/>
          <w:sz w:val="20"/>
          <w:szCs w:val="20"/>
        </w:rPr>
        <w:t>ki Technicznej świadczone będą 7</w:t>
      </w:r>
      <w:r w:rsidRPr="00DF5743">
        <w:rPr>
          <w:rFonts w:asciiTheme="majorHAnsi" w:hAnsiTheme="majorHAnsi" w:cstheme="minorHAnsi"/>
          <w:sz w:val="20"/>
          <w:szCs w:val="20"/>
        </w:rPr>
        <w:t xml:space="preserve"> dni</w:t>
      </w:r>
      <w:r w:rsidR="003D6952">
        <w:rPr>
          <w:rFonts w:asciiTheme="majorHAnsi" w:hAnsiTheme="majorHAnsi" w:cstheme="minorHAnsi"/>
          <w:sz w:val="20"/>
          <w:szCs w:val="20"/>
        </w:rPr>
        <w:t xml:space="preserve"> w tygodniu.</w:t>
      </w:r>
    </w:p>
    <w:p w:rsidR="00F73246" w:rsidRDefault="00F73246"/>
    <w:sectPr w:rsidR="00F7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0B4"/>
    <w:multiLevelType w:val="hybridMultilevel"/>
    <w:tmpl w:val="EBE2D28C"/>
    <w:lvl w:ilvl="0" w:tplc="1144C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49B"/>
    <w:multiLevelType w:val="hybridMultilevel"/>
    <w:tmpl w:val="754AF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A60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05B7"/>
    <w:multiLevelType w:val="hybridMultilevel"/>
    <w:tmpl w:val="1318C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3E2A"/>
    <w:multiLevelType w:val="hybridMultilevel"/>
    <w:tmpl w:val="E4E48BA6"/>
    <w:lvl w:ilvl="0" w:tplc="0480E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F7AD9"/>
    <w:multiLevelType w:val="hybridMultilevel"/>
    <w:tmpl w:val="2F4CCD2A"/>
    <w:lvl w:ilvl="0" w:tplc="C8481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72360"/>
    <w:multiLevelType w:val="hybridMultilevel"/>
    <w:tmpl w:val="B0DA0A60"/>
    <w:lvl w:ilvl="0" w:tplc="34B0BB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74E1"/>
    <w:multiLevelType w:val="hybridMultilevel"/>
    <w:tmpl w:val="550CFE3C"/>
    <w:lvl w:ilvl="0" w:tplc="23480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16B"/>
    <w:multiLevelType w:val="hybridMultilevel"/>
    <w:tmpl w:val="4B5A3190"/>
    <w:lvl w:ilvl="0" w:tplc="586E0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61A55"/>
    <w:multiLevelType w:val="hybridMultilevel"/>
    <w:tmpl w:val="DC9CE048"/>
    <w:lvl w:ilvl="0" w:tplc="F704EB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014A8"/>
    <w:multiLevelType w:val="multilevel"/>
    <w:tmpl w:val="B95EED40"/>
    <w:lvl w:ilvl="0">
      <w:start w:val="1"/>
      <w:numFmt w:val="ordinal"/>
      <w:pStyle w:val="Nagwek1"/>
      <w:suff w:val="space"/>
      <w:lvlText w:val="%1"/>
      <w:lvlJc w:val="left"/>
      <w:pPr>
        <w:ind w:left="0" w:firstLine="0"/>
      </w:pPr>
      <w:rPr>
        <w:rFonts w:hint="default"/>
        <w:b/>
        <w:sz w:val="24"/>
        <w:szCs w:val="28"/>
      </w:rPr>
    </w:lvl>
    <w:lvl w:ilvl="1">
      <w:start w:val="1"/>
      <w:numFmt w:val="ordinal"/>
      <w:pStyle w:val="Nagwek2"/>
      <w:suff w:val="space"/>
      <w:lvlText w:val="%1%2"/>
      <w:lvlJc w:val="left"/>
      <w:pPr>
        <w:ind w:left="6380" w:firstLine="0"/>
      </w:pPr>
      <w:rPr>
        <w:rFonts w:hint="default"/>
        <w:sz w:val="24"/>
        <w:szCs w:val="24"/>
      </w:rPr>
    </w:lvl>
    <w:lvl w:ilvl="2">
      <w:start w:val="1"/>
      <w:numFmt w:val="ordinal"/>
      <w:pStyle w:val="Nagwek3"/>
      <w:suff w:val="space"/>
      <w:lvlText w:val="%1%2%3"/>
      <w:lvlJc w:val="left"/>
      <w:pPr>
        <w:ind w:left="720" w:hanging="720"/>
      </w:pPr>
      <w:rPr>
        <w:rFonts w:hint="default"/>
        <w:b/>
        <w:i w:val="0"/>
        <w:sz w:val="28"/>
      </w:rPr>
    </w:lvl>
    <w:lvl w:ilvl="3">
      <w:start w:val="1"/>
      <w:numFmt w:val="ordinal"/>
      <w:pStyle w:val="Nagwek4"/>
      <w:suff w:val="space"/>
      <w:lvlText w:val="%1%2%3%4"/>
      <w:lvlJc w:val="left"/>
      <w:pPr>
        <w:ind w:left="864" w:hanging="864"/>
      </w:pPr>
      <w:rPr>
        <w:rFonts w:hint="default"/>
        <w:b/>
        <w:i w:val="0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2F"/>
    <w:rsid w:val="000A324F"/>
    <w:rsid w:val="00285F33"/>
    <w:rsid w:val="0032740E"/>
    <w:rsid w:val="003D3ED1"/>
    <w:rsid w:val="003D6952"/>
    <w:rsid w:val="00404893"/>
    <w:rsid w:val="00523F2F"/>
    <w:rsid w:val="00670140"/>
    <w:rsid w:val="00673C98"/>
    <w:rsid w:val="006B6589"/>
    <w:rsid w:val="00784F27"/>
    <w:rsid w:val="008D57D8"/>
    <w:rsid w:val="00D31E49"/>
    <w:rsid w:val="00F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C9CE"/>
  <w15:docId w15:val="{55FC604B-2CA1-4BDD-9EFC-138DE010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F2F"/>
  </w:style>
  <w:style w:type="paragraph" w:styleId="Nagwek1">
    <w:name w:val="heading 1"/>
    <w:aliases w:val="N1"/>
    <w:basedOn w:val="Normalny"/>
    <w:next w:val="Tekstpodstawowy"/>
    <w:link w:val="Nagwek1Znak"/>
    <w:qFormat/>
    <w:rsid w:val="00523F2F"/>
    <w:pPr>
      <w:keepNext/>
      <w:numPr>
        <w:numId w:val="1"/>
      </w:numPr>
      <w:spacing w:before="240" w:after="240" w:line="288" w:lineRule="auto"/>
      <w:contextualSpacing/>
      <w:outlineLvl w:val="0"/>
    </w:pPr>
    <w:rPr>
      <w:rFonts w:ascii="Calibri Light" w:eastAsia="Times New Roman" w:hAnsi="Calibri Light" w:cs="Arial"/>
      <w:bCs/>
      <w:color w:val="2E74B5"/>
      <w:kern w:val="32"/>
      <w:sz w:val="36"/>
      <w:szCs w:val="36"/>
      <w:lang w:eastAsia="pl-PL"/>
    </w:rPr>
  </w:style>
  <w:style w:type="paragraph" w:styleId="Nagwek2">
    <w:name w:val="heading 2"/>
    <w:aliases w:val="N2"/>
    <w:basedOn w:val="Normalny"/>
    <w:next w:val="Tekstpodstawowy"/>
    <w:link w:val="Nagwek2Znak"/>
    <w:qFormat/>
    <w:rsid w:val="00523F2F"/>
    <w:pPr>
      <w:keepNext/>
      <w:numPr>
        <w:ilvl w:val="1"/>
        <w:numId w:val="1"/>
      </w:numPr>
      <w:spacing w:before="240" w:after="240" w:line="288" w:lineRule="auto"/>
      <w:ind w:left="1560"/>
      <w:contextualSpacing/>
      <w:outlineLvl w:val="1"/>
    </w:pPr>
    <w:rPr>
      <w:rFonts w:ascii="Calibri Light" w:eastAsia="Times New Roman" w:hAnsi="Calibri Light" w:cs="Arial"/>
      <w:bCs/>
      <w:iCs/>
      <w:color w:val="2E74B5"/>
      <w:sz w:val="24"/>
      <w:szCs w:val="24"/>
      <w:lang w:eastAsia="pl-PL"/>
    </w:rPr>
  </w:style>
  <w:style w:type="paragraph" w:styleId="Nagwek3">
    <w:name w:val="heading 3"/>
    <w:basedOn w:val="Normalny"/>
    <w:next w:val="Tekstpodstawowy"/>
    <w:link w:val="Nagwek3Znak"/>
    <w:qFormat/>
    <w:rsid w:val="00523F2F"/>
    <w:pPr>
      <w:keepNext/>
      <w:numPr>
        <w:ilvl w:val="2"/>
        <w:numId w:val="1"/>
      </w:numPr>
      <w:spacing w:before="240" w:after="60" w:line="240" w:lineRule="auto"/>
      <w:contextualSpacing/>
      <w:outlineLvl w:val="2"/>
    </w:pPr>
    <w:rPr>
      <w:rFonts w:ascii="Calibri" w:eastAsia="Times New Roman" w:hAnsi="Calibri" w:cs="Arial"/>
      <w:b/>
      <w:bCs/>
      <w:sz w:val="28"/>
      <w:szCs w:val="26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523F2F"/>
    <w:pPr>
      <w:keepNext/>
      <w:numPr>
        <w:ilvl w:val="3"/>
        <w:numId w:val="1"/>
      </w:numPr>
      <w:spacing w:before="480" w:after="120" w:line="240" w:lineRule="auto"/>
      <w:contextualSpacing/>
      <w:outlineLvl w:val="3"/>
    </w:pPr>
    <w:rPr>
      <w:rFonts w:ascii="Calibri" w:eastAsia="MS Mincho" w:hAnsi="Calibri" w:cs="Arial"/>
      <w:b/>
      <w:bCs/>
      <w:iCs/>
      <w:sz w:val="24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23F2F"/>
    <w:pPr>
      <w:numPr>
        <w:ilvl w:val="4"/>
        <w:numId w:val="1"/>
      </w:numPr>
      <w:spacing w:before="240" w:after="60" w:line="240" w:lineRule="auto"/>
      <w:contextualSpacing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23F2F"/>
    <w:pPr>
      <w:numPr>
        <w:ilvl w:val="5"/>
        <w:numId w:val="1"/>
      </w:numPr>
      <w:spacing w:before="240" w:after="60" w:line="240" w:lineRule="auto"/>
      <w:contextualSpacing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23F2F"/>
    <w:pPr>
      <w:numPr>
        <w:ilvl w:val="6"/>
        <w:numId w:val="1"/>
      </w:numPr>
      <w:spacing w:before="240" w:after="60" w:line="240" w:lineRule="auto"/>
      <w:contextualSpacing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23F2F"/>
    <w:pPr>
      <w:numPr>
        <w:ilvl w:val="7"/>
        <w:numId w:val="1"/>
      </w:numPr>
      <w:spacing w:before="240" w:after="60" w:line="240" w:lineRule="auto"/>
      <w:contextualSpacing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23F2F"/>
    <w:pPr>
      <w:numPr>
        <w:ilvl w:val="8"/>
        <w:numId w:val="1"/>
      </w:numPr>
      <w:spacing w:before="240" w:after="60" w:line="240" w:lineRule="auto"/>
      <w:contextualSpacing/>
      <w:jc w:val="both"/>
      <w:outlineLvl w:val="8"/>
    </w:pPr>
    <w:rPr>
      <w:rFonts w:ascii="Calibri" w:eastAsia="Times New Roman" w:hAnsi="Calibri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1 Znak"/>
    <w:basedOn w:val="Domylnaczcionkaakapitu"/>
    <w:link w:val="Nagwek1"/>
    <w:rsid w:val="00523F2F"/>
    <w:rPr>
      <w:rFonts w:ascii="Calibri Light" w:eastAsia="Times New Roman" w:hAnsi="Calibri Light" w:cs="Arial"/>
      <w:bCs/>
      <w:color w:val="2E74B5"/>
      <w:kern w:val="32"/>
      <w:sz w:val="36"/>
      <w:szCs w:val="36"/>
      <w:lang w:eastAsia="pl-PL"/>
    </w:rPr>
  </w:style>
  <w:style w:type="character" w:customStyle="1" w:styleId="Nagwek2Znak">
    <w:name w:val="Nagłówek 2 Znak"/>
    <w:aliases w:val="N2 Znak"/>
    <w:basedOn w:val="Domylnaczcionkaakapitu"/>
    <w:link w:val="Nagwek2"/>
    <w:rsid w:val="00523F2F"/>
    <w:rPr>
      <w:rFonts w:ascii="Calibri Light" w:eastAsia="Times New Roman" w:hAnsi="Calibri Light" w:cs="Arial"/>
      <w:bCs/>
      <w:iCs/>
      <w:color w:val="2E74B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23F2F"/>
    <w:rPr>
      <w:rFonts w:ascii="Calibri" w:eastAsia="Times New Roman" w:hAnsi="Calibri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23F2F"/>
    <w:rPr>
      <w:rFonts w:ascii="Calibri" w:eastAsia="MS Mincho" w:hAnsi="Calibri" w:cs="Arial"/>
      <w:b/>
      <w:bCs/>
      <w:iCs/>
      <w:sz w:val="24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23F2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23F2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23F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3F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23F2F"/>
    <w:rPr>
      <w:rFonts w:ascii="Calibri" w:eastAsia="Times New Roman" w:hAnsi="Calibri" w:cs="Arial"/>
      <w:lang w:eastAsia="pl-PL"/>
    </w:rPr>
  </w:style>
  <w:style w:type="paragraph" w:styleId="Tekstpodstawowy">
    <w:name w:val="Body Text"/>
    <w:basedOn w:val="Normalny"/>
    <w:link w:val="TekstpodstawowyZnak"/>
    <w:rsid w:val="00523F2F"/>
    <w:pPr>
      <w:spacing w:after="0" w:line="240" w:lineRule="auto"/>
      <w:ind w:firstLine="284"/>
      <w:contextualSpacing/>
      <w:jc w:val="both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3F2F"/>
    <w:rPr>
      <w:rFonts w:ascii="Calibri" w:eastAsia="Times New Roman" w:hAnsi="Calibri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3F2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5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5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Piotr Dorosz</cp:lastModifiedBy>
  <cp:revision>4</cp:revision>
  <cp:lastPrinted>2022-10-23T19:14:00Z</cp:lastPrinted>
  <dcterms:created xsi:type="dcterms:W3CDTF">2022-10-19T20:19:00Z</dcterms:created>
  <dcterms:modified xsi:type="dcterms:W3CDTF">2022-10-23T19:15:00Z</dcterms:modified>
</cp:coreProperties>
</file>