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4F075B91" w:rsidR="0011556A" w:rsidRPr="008C05F8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5A6A61" w:rsidRPr="005A6A61">
        <w:rPr>
          <w:rFonts w:ascii="Arial" w:hAnsi="Arial" w:cs="Arial"/>
          <w:b/>
          <w:bCs/>
        </w:rPr>
        <w:t>Remont elewacji frontowej budynku przy ul. Mickiewicza 30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C3BD82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F5F9" w14:textId="77777777" w:rsidR="001C6960" w:rsidRDefault="001C6960">
      <w:pPr>
        <w:spacing w:after="0" w:line="240" w:lineRule="auto"/>
      </w:pPr>
      <w:r>
        <w:separator/>
      </w:r>
    </w:p>
  </w:endnote>
  <w:endnote w:type="continuationSeparator" w:id="0">
    <w:p w14:paraId="119AF487" w14:textId="77777777" w:rsidR="001C6960" w:rsidRDefault="001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40C2F9EB" w:rsidR="001B2250" w:rsidRDefault="001B2250" w:rsidP="001B22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8EEA" w14:textId="77777777" w:rsidR="001C6960" w:rsidRDefault="001C6960">
      <w:pPr>
        <w:spacing w:after="0" w:line="240" w:lineRule="auto"/>
      </w:pPr>
      <w:r>
        <w:separator/>
      </w:r>
    </w:p>
  </w:footnote>
  <w:footnote w:type="continuationSeparator" w:id="0">
    <w:p w14:paraId="11DBCC1B" w14:textId="77777777" w:rsidR="001C6960" w:rsidRDefault="001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2E8E" w14:textId="02B91D71" w:rsidR="00C17A75" w:rsidRP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3BA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97FF7"/>
    <w:rsid w:val="004C0C12"/>
    <w:rsid w:val="004C459E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75C06"/>
    <w:rsid w:val="0098205F"/>
    <w:rsid w:val="009A5EF6"/>
    <w:rsid w:val="009D16EA"/>
    <w:rsid w:val="009E7566"/>
    <w:rsid w:val="009F6A40"/>
    <w:rsid w:val="00A11BD2"/>
    <w:rsid w:val="00A13170"/>
    <w:rsid w:val="00A34EAA"/>
    <w:rsid w:val="00A77E10"/>
    <w:rsid w:val="00AA4981"/>
    <w:rsid w:val="00AB76D1"/>
    <w:rsid w:val="00AE5053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188E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40</cp:revision>
  <cp:lastPrinted>2017-12-06T08:53:00Z</cp:lastPrinted>
  <dcterms:created xsi:type="dcterms:W3CDTF">2017-10-05T19:56:00Z</dcterms:created>
  <dcterms:modified xsi:type="dcterms:W3CDTF">2024-04-23T07:30:00Z</dcterms:modified>
</cp:coreProperties>
</file>