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77777777" w:rsidR="003E3CA7" w:rsidRDefault="003E3CA7" w:rsidP="003E3CA7">
      <w:pPr>
        <w:pStyle w:val="Standard"/>
        <w:tabs>
          <w:tab w:val="left" w:pos="282"/>
        </w:tabs>
        <w:spacing w:line="276" w:lineRule="auto"/>
        <w:jc w:val="center"/>
        <w:rPr>
          <w:b/>
          <w:bCs/>
          <w:color w:val="000000"/>
        </w:rPr>
      </w:pPr>
      <w:r>
        <w:rPr>
          <w:b/>
          <w:bCs/>
          <w:color w:val="000000"/>
        </w:rPr>
        <w:t>UMOWA NR DTiZP/201/....../2022 (wzór umowy)</w:t>
      </w:r>
    </w:p>
    <w:p w14:paraId="1942DF10" w14:textId="77777777" w:rsidR="003E3CA7" w:rsidRDefault="003E3CA7" w:rsidP="003E3CA7">
      <w:pPr>
        <w:pStyle w:val="Bezodstpw"/>
      </w:pPr>
    </w:p>
    <w:p w14:paraId="357426A1" w14:textId="77777777" w:rsidR="003E3CA7" w:rsidRDefault="003E3CA7" w:rsidP="003E3CA7">
      <w:pPr>
        <w:pStyle w:val="Standard"/>
        <w:tabs>
          <w:tab w:val="left" w:pos="282"/>
        </w:tabs>
        <w:spacing w:line="276" w:lineRule="auto"/>
        <w:jc w:val="both"/>
        <w:rPr>
          <w:color w:val="000000"/>
        </w:rPr>
      </w:pPr>
      <w:r>
        <w:rPr>
          <w:color w:val="000000"/>
        </w:rPr>
        <w:t>w dniu ….....2022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0302A899"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w:t>
      </w:r>
      <w:r w:rsidR="00AD074A" w:rsidRPr="00AD074A">
        <w:t xml:space="preserve"> </w:t>
      </w:r>
      <w:r w:rsidR="00547BFB" w:rsidRPr="00547BFB">
        <w:rPr>
          <w:rFonts w:eastAsia="Arial"/>
          <w:b/>
          <w:bCs/>
          <w:color w:val="000000"/>
        </w:rPr>
        <w:t>Przebudowa drogi powiatowej nr 1364 D odcinek Wilczyn - Golędzinów</w:t>
      </w:r>
      <w:r w:rsidR="00AD074A">
        <w:rPr>
          <w:rFonts w:eastAsia="Arial"/>
          <w:b/>
          <w:bCs/>
          <w:color w:val="000000"/>
        </w:rPr>
        <w:t>”</w:t>
      </w:r>
      <w:r w:rsidR="00313A2A">
        <w:rPr>
          <w:rFonts w:eastAsia="Arial"/>
          <w:b/>
          <w:bCs/>
          <w:color w:val="000000"/>
        </w:rPr>
        <w:t>.</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7A29CBFB"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714911">
        <w:rPr>
          <w:rFonts w:eastAsia="Times New Roman"/>
          <w:b/>
          <w:bCs/>
          <w:color w:val="000000"/>
        </w:rPr>
        <w:t>10 tygodni</w:t>
      </w:r>
      <w:r w:rsidR="00FD2ACE">
        <w:rPr>
          <w:rFonts w:eastAsia="Times New Roman"/>
          <w:b/>
          <w:bCs/>
          <w:color w:val="000000"/>
        </w:rPr>
        <w:t xml:space="preserve">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ABC2550" w14:textId="7BFA8973" w:rsidR="003E3CA7" w:rsidRPr="00744EF6"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Ministra Infrastruktury i Budownictwa z dnia 17 listopada 2016 r. w sprawie sposobu deklarowania właściwości użytkowych wyrobów budowlanych oraz sposobu znakowania ich </w:t>
      </w:r>
      <w:r>
        <w:rPr>
          <w:color w:val="000000"/>
        </w:rPr>
        <w:lastRenderedPageBreak/>
        <w:t>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w:t>
      </w:r>
      <w:r>
        <w:rPr>
          <w:sz w:val="23"/>
          <w:szCs w:val="23"/>
        </w:rPr>
        <w:lastRenderedPageBreak/>
        <w:t>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0C7FE025"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lastRenderedPageBreak/>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22E56861" w14:textId="20C6B1CD"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lastRenderedPageBreak/>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Pr="00744EF6"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 xml:space="preserve">Jeżeli termin zapłaty wynagrodzenia, o którym mowa w ustępie powyżej jest dłuższy niż 30 </w:t>
      </w:r>
      <w:r>
        <w:lastRenderedPageBreak/>
        <w:t>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61047A6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w:t>
      </w:r>
      <w:r>
        <w:rPr>
          <w:rStyle w:val="Domylnaczcionkaakapitu8"/>
        </w:rPr>
        <w:lastRenderedPageBreak/>
        <w:t xml:space="preserve">jednostkowych wyszczególnionych w kosztorysie ofertowym, a w przypadku braku w kosztorysie wówczas w Sekocenbudzie (Biuletyn cen robót ziemnych i inżynieryjnych BRZ) dla </w:t>
      </w:r>
      <w:r w:rsidRPr="00535837">
        <w:rPr>
          <w:rStyle w:val="Domylnaczcionkaakapitu8"/>
        </w:rPr>
        <w:t>I</w:t>
      </w:r>
      <w:r w:rsidR="00FD2ACE">
        <w:rPr>
          <w:rStyle w:val="Domylnaczcionkaakapitu8"/>
        </w:rPr>
        <w:t>I</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6AED2ADF" w14:textId="5FB82CD6"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w:t>
      </w:r>
      <w:r>
        <w:rPr>
          <w:color w:val="000000"/>
        </w:rPr>
        <w:lastRenderedPageBreak/>
        <w:t xml:space="preserve">końcowego odbioru przedmiotu umowy na sumę ubezpieczenia wynoszącą każdorazowo co najmniej </w:t>
      </w:r>
      <w:r w:rsidR="005C03D2">
        <w:rPr>
          <w:color w:val="000000"/>
        </w:rPr>
        <w:t>8</w:t>
      </w:r>
      <w:r w:rsidRPr="00006557">
        <w:rPr>
          <w:color w:val="000000"/>
        </w:rPr>
        <w:t>00.000,00</w:t>
      </w:r>
      <w:r>
        <w:rPr>
          <w:color w:val="000000"/>
        </w:rPr>
        <w:t xml:space="preserve">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lastRenderedPageBreak/>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w:t>
      </w:r>
      <w:r>
        <w:rPr>
          <w:rFonts w:eastAsia="Times New Roman"/>
          <w:color w:val="000000"/>
        </w:rPr>
        <w:lastRenderedPageBreak/>
        <w:t xml:space="preserve">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lastRenderedPageBreak/>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1C8B7011" w:rsidR="003E3CA7" w:rsidRPr="00744EF6" w:rsidRDefault="004804C7" w:rsidP="00744EF6">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3FAECEEB" w:rsidR="00744EF6" w:rsidRDefault="00744EF6" w:rsidP="00FC0FF3">
      <w:pPr>
        <w:pStyle w:val="Standard"/>
        <w:spacing w:line="360" w:lineRule="auto"/>
        <w:jc w:val="right"/>
      </w:pPr>
    </w:p>
    <w:p w14:paraId="3044DF58" w14:textId="5D3901DE" w:rsidR="00744EF6" w:rsidRDefault="00744EF6" w:rsidP="00FC0FF3">
      <w:pPr>
        <w:pStyle w:val="Standard"/>
        <w:spacing w:line="360" w:lineRule="auto"/>
        <w:jc w:val="right"/>
      </w:pPr>
    </w:p>
    <w:p w14:paraId="6F0985C0" w14:textId="5B5D0A5D" w:rsidR="00744EF6" w:rsidRDefault="00744EF6" w:rsidP="00FC0FF3">
      <w:pPr>
        <w:pStyle w:val="Standard"/>
        <w:spacing w:line="360" w:lineRule="auto"/>
        <w:jc w:val="right"/>
      </w:pPr>
    </w:p>
    <w:p w14:paraId="1B63761E" w14:textId="51B718B1" w:rsidR="00744EF6" w:rsidRDefault="00744EF6" w:rsidP="00FC0FF3">
      <w:pPr>
        <w:pStyle w:val="Standard"/>
        <w:spacing w:line="360" w:lineRule="auto"/>
        <w:jc w:val="right"/>
      </w:pPr>
    </w:p>
    <w:p w14:paraId="783B1630" w14:textId="0DCF321E" w:rsidR="00744EF6" w:rsidRDefault="00744EF6" w:rsidP="00FC0FF3">
      <w:pPr>
        <w:pStyle w:val="Standard"/>
        <w:spacing w:line="360" w:lineRule="auto"/>
        <w:jc w:val="right"/>
      </w:pPr>
    </w:p>
    <w:p w14:paraId="60C253FB" w14:textId="1A1CAF09" w:rsidR="00744EF6" w:rsidRDefault="00744EF6" w:rsidP="00FC0FF3">
      <w:pPr>
        <w:pStyle w:val="Standard"/>
        <w:spacing w:line="360" w:lineRule="auto"/>
        <w:jc w:val="right"/>
      </w:pPr>
    </w:p>
    <w:p w14:paraId="5973A07E" w14:textId="43E0F2C4" w:rsidR="00744EF6" w:rsidRDefault="00744EF6" w:rsidP="00FC0FF3">
      <w:pPr>
        <w:pStyle w:val="Standard"/>
        <w:spacing w:line="360" w:lineRule="auto"/>
        <w:jc w:val="right"/>
      </w:pPr>
    </w:p>
    <w:p w14:paraId="27CE1FBF" w14:textId="29A4B45C" w:rsidR="00744EF6" w:rsidRDefault="00744EF6" w:rsidP="00FC0FF3">
      <w:pPr>
        <w:pStyle w:val="Standard"/>
        <w:spacing w:line="360" w:lineRule="auto"/>
        <w:jc w:val="right"/>
      </w:pPr>
    </w:p>
    <w:p w14:paraId="2EA7FC53" w14:textId="77777777" w:rsidR="00744EF6" w:rsidRPr="00FC0FF3"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9485" w14:textId="77777777" w:rsidR="008A7E3F" w:rsidRDefault="008A7E3F">
      <w:pPr>
        <w:spacing w:after="0" w:line="240" w:lineRule="auto"/>
      </w:pPr>
      <w:r>
        <w:separator/>
      </w:r>
    </w:p>
  </w:endnote>
  <w:endnote w:type="continuationSeparator" w:id="0">
    <w:p w14:paraId="659B1E2D" w14:textId="77777777" w:rsidR="008A7E3F" w:rsidRDefault="008A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AB6BE0">
          <w:rPr>
            <w:noProof/>
          </w:rPr>
          <w:t>7</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FA9C" w14:textId="77777777" w:rsidR="008A7E3F" w:rsidRDefault="008A7E3F">
      <w:pPr>
        <w:spacing w:after="0" w:line="240" w:lineRule="auto"/>
      </w:pPr>
      <w:r>
        <w:separator/>
      </w:r>
    </w:p>
  </w:footnote>
  <w:footnote w:type="continuationSeparator" w:id="0">
    <w:p w14:paraId="78C39F71" w14:textId="77777777" w:rsidR="008A7E3F" w:rsidRDefault="008A7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9318112">
    <w:abstractNumId w:val="4"/>
  </w:num>
  <w:num w:numId="2" w16cid:durableId="1747452378">
    <w:abstractNumId w:val="13"/>
  </w:num>
  <w:num w:numId="3" w16cid:durableId="439376060">
    <w:abstractNumId w:val="7"/>
  </w:num>
  <w:num w:numId="4" w16cid:durableId="821967536">
    <w:abstractNumId w:val="11"/>
  </w:num>
  <w:num w:numId="5" w16cid:durableId="442463877">
    <w:abstractNumId w:val="10"/>
  </w:num>
  <w:num w:numId="6" w16cid:durableId="850267074">
    <w:abstractNumId w:val="6"/>
  </w:num>
  <w:num w:numId="7" w16cid:durableId="1093547759">
    <w:abstractNumId w:val="9"/>
  </w:num>
  <w:num w:numId="8" w16cid:durableId="705717343">
    <w:abstractNumId w:val="1"/>
  </w:num>
  <w:num w:numId="9" w16cid:durableId="1095440236">
    <w:abstractNumId w:val="0"/>
  </w:num>
  <w:num w:numId="10" w16cid:durableId="1774589641">
    <w:abstractNumId w:val="5"/>
  </w:num>
  <w:num w:numId="11" w16cid:durableId="1878615526">
    <w:abstractNumId w:val="12"/>
  </w:num>
  <w:num w:numId="12" w16cid:durableId="1658267717">
    <w:abstractNumId w:val="14"/>
  </w:num>
  <w:num w:numId="13" w16cid:durableId="1417556385">
    <w:abstractNumId w:val="8"/>
  </w:num>
  <w:num w:numId="14" w16cid:durableId="983202022">
    <w:abstractNumId w:val="15"/>
  </w:num>
  <w:num w:numId="15" w16cid:durableId="1200903">
    <w:abstractNumId w:val="2"/>
  </w:num>
  <w:num w:numId="16" w16cid:durableId="2144300845">
    <w:abstractNumId w:val="3"/>
  </w:num>
  <w:num w:numId="17" w16cid:durableId="380831630">
    <w:abstractNumId w:val="4"/>
    <w:lvlOverride w:ilvl="0">
      <w:startOverride w:val="1"/>
    </w:lvlOverride>
  </w:num>
  <w:num w:numId="18" w16cid:durableId="642849912">
    <w:abstractNumId w:val="13"/>
    <w:lvlOverride w:ilvl="0">
      <w:startOverride w:val="1"/>
    </w:lvlOverride>
  </w:num>
  <w:num w:numId="19" w16cid:durableId="313030525">
    <w:abstractNumId w:val="11"/>
    <w:lvlOverride w:ilvl="0">
      <w:startOverride w:val="1"/>
    </w:lvlOverride>
  </w:num>
  <w:num w:numId="20" w16cid:durableId="1842819239">
    <w:abstractNumId w:val="10"/>
    <w:lvlOverride w:ilvl="0">
      <w:startOverride w:val="1"/>
    </w:lvlOverride>
  </w:num>
  <w:num w:numId="21" w16cid:durableId="1206213524">
    <w:abstractNumId w:val="6"/>
    <w:lvlOverride w:ilvl="0">
      <w:startOverride w:val="1"/>
    </w:lvlOverride>
  </w:num>
  <w:num w:numId="22" w16cid:durableId="1051271554">
    <w:abstractNumId w:val="9"/>
    <w:lvlOverride w:ilvl="0">
      <w:startOverride w:val="1"/>
    </w:lvlOverride>
  </w:num>
  <w:num w:numId="23" w16cid:durableId="761754208">
    <w:abstractNumId w:val="1"/>
    <w:lvlOverride w:ilvl="0">
      <w:startOverride w:val="1"/>
    </w:lvlOverride>
  </w:num>
  <w:num w:numId="24" w16cid:durableId="2105220375">
    <w:abstractNumId w:val="0"/>
    <w:lvlOverride w:ilvl="0">
      <w:startOverride w:val="1"/>
    </w:lvlOverride>
  </w:num>
  <w:num w:numId="25" w16cid:durableId="756561841">
    <w:abstractNumId w:val="5"/>
    <w:lvlOverride w:ilvl="0">
      <w:startOverride w:val="1"/>
    </w:lvlOverride>
  </w:num>
  <w:num w:numId="26" w16cid:durableId="1590236851">
    <w:abstractNumId w:val="12"/>
    <w:lvlOverride w:ilvl="0">
      <w:startOverride w:val="1"/>
    </w:lvlOverride>
  </w:num>
  <w:num w:numId="27" w16cid:durableId="1150488539">
    <w:abstractNumId w:val="14"/>
    <w:lvlOverride w:ilvl="0">
      <w:startOverride w:val="1"/>
    </w:lvlOverride>
  </w:num>
  <w:num w:numId="28" w16cid:durableId="374424770">
    <w:abstractNumId w:val="8"/>
    <w:lvlOverride w:ilvl="0">
      <w:startOverride w:val="1"/>
    </w:lvlOverride>
  </w:num>
  <w:num w:numId="29" w16cid:durableId="1422218716">
    <w:abstractNumId w:val="15"/>
    <w:lvlOverride w:ilvl="0">
      <w:startOverride w:val="1"/>
    </w:lvlOverride>
  </w:num>
  <w:num w:numId="30" w16cid:durableId="1053427198">
    <w:abstractNumId w:val="2"/>
    <w:lvlOverride w:ilvl="0">
      <w:startOverride w:val="1"/>
    </w:lvlOverride>
  </w:num>
  <w:num w:numId="31" w16cid:durableId="144175699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1E2ADC"/>
    <w:rsid w:val="002D15A4"/>
    <w:rsid w:val="002D7E24"/>
    <w:rsid w:val="002F3282"/>
    <w:rsid w:val="00313A2A"/>
    <w:rsid w:val="00341B6B"/>
    <w:rsid w:val="00362885"/>
    <w:rsid w:val="0036745B"/>
    <w:rsid w:val="003E3CA7"/>
    <w:rsid w:val="00420E51"/>
    <w:rsid w:val="00422A69"/>
    <w:rsid w:val="004804C7"/>
    <w:rsid w:val="004D50E0"/>
    <w:rsid w:val="005126BB"/>
    <w:rsid w:val="00535837"/>
    <w:rsid w:val="00547BFB"/>
    <w:rsid w:val="00562E0D"/>
    <w:rsid w:val="005676ED"/>
    <w:rsid w:val="005A36FE"/>
    <w:rsid w:val="005C03D2"/>
    <w:rsid w:val="005D5405"/>
    <w:rsid w:val="005F75A1"/>
    <w:rsid w:val="006C0932"/>
    <w:rsid w:val="00714911"/>
    <w:rsid w:val="00744EF6"/>
    <w:rsid w:val="0079670F"/>
    <w:rsid w:val="007E455F"/>
    <w:rsid w:val="007E529B"/>
    <w:rsid w:val="00820125"/>
    <w:rsid w:val="0086069B"/>
    <w:rsid w:val="008A7E3F"/>
    <w:rsid w:val="00941223"/>
    <w:rsid w:val="009434FD"/>
    <w:rsid w:val="009C0FA4"/>
    <w:rsid w:val="009E0A02"/>
    <w:rsid w:val="00A56610"/>
    <w:rsid w:val="00AB6BE0"/>
    <w:rsid w:val="00AD074A"/>
    <w:rsid w:val="00BA6626"/>
    <w:rsid w:val="00BF243F"/>
    <w:rsid w:val="00CE06E8"/>
    <w:rsid w:val="00D75CCE"/>
    <w:rsid w:val="00DC65D6"/>
    <w:rsid w:val="00DC6F6E"/>
    <w:rsid w:val="00E4495B"/>
    <w:rsid w:val="00EC28F6"/>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6912</Words>
  <Characters>41473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cp:lastPrinted>2022-05-18T09:40:00Z</cp:lastPrinted>
  <dcterms:created xsi:type="dcterms:W3CDTF">2022-07-30T11:30:00Z</dcterms:created>
  <dcterms:modified xsi:type="dcterms:W3CDTF">2022-08-01T05:23:00Z</dcterms:modified>
</cp:coreProperties>
</file>