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CE5B92E" w:rsidR="009E4F3D" w:rsidRPr="00E403C8" w:rsidRDefault="009E4F3D" w:rsidP="005E1CB0">
      <w:pPr>
        <w:spacing w:after="0" w:line="240" w:lineRule="auto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Oznaczenie sprawy: </w:t>
      </w:r>
      <w:r w:rsidR="00136CF9">
        <w:rPr>
          <w:rFonts w:cstheme="minorHAnsi"/>
          <w:b/>
          <w:sz w:val="18"/>
          <w:szCs w:val="18"/>
        </w:rPr>
        <w:t>TP</w:t>
      </w:r>
      <w:r w:rsidRPr="00E403C8">
        <w:rPr>
          <w:rFonts w:cstheme="minorHAnsi"/>
          <w:b/>
          <w:sz w:val="18"/>
          <w:szCs w:val="18"/>
        </w:rPr>
        <w:t>-</w:t>
      </w:r>
      <w:r w:rsidR="00136CF9">
        <w:rPr>
          <w:rFonts w:cstheme="minorHAnsi"/>
          <w:b/>
          <w:sz w:val="18"/>
          <w:szCs w:val="18"/>
        </w:rPr>
        <w:t>10</w:t>
      </w:r>
      <w:r w:rsidR="00B24B9E">
        <w:rPr>
          <w:rFonts w:cstheme="minorHAnsi"/>
          <w:b/>
          <w:sz w:val="18"/>
          <w:szCs w:val="18"/>
        </w:rPr>
        <w:t>7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5E1CB0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2866E5AC" w:rsidR="008664B7" w:rsidRPr="00E403C8" w:rsidRDefault="005E1CB0" w:rsidP="005E1CB0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Część nr </w:t>
      </w:r>
      <w:r w:rsidR="000E2DF7">
        <w:rPr>
          <w:rFonts w:cstheme="minorHAnsi"/>
          <w:b/>
          <w:sz w:val="18"/>
          <w:szCs w:val="18"/>
        </w:rPr>
        <w:t>2</w:t>
      </w:r>
      <w:r>
        <w:rPr>
          <w:rFonts w:cstheme="minorHAnsi"/>
          <w:b/>
          <w:sz w:val="18"/>
          <w:szCs w:val="18"/>
        </w:rPr>
        <w:t xml:space="preserve">. </w:t>
      </w:r>
      <w:r w:rsidR="00B12291" w:rsidRPr="00B12291">
        <w:rPr>
          <w:rFonts w:cstheme="minorHAnsi"/>
          <w:b/>
          <w:sz w:val="18"/>
          <w:szCs w:val="18"/>
        </w:rPr>
        <w:t>Łóżk</w:t>
      </w:r>
      <w:r w:rsidR="00B12291">
        <w:rPr>
          <w:rFonts w:cstheme="minorHAnsi"/>
          <w:b/>
          <w:sz w:val="18"/>
          <w:szCs w:val="18"/>
        </w:rPr>
        <w:t>a</w:t>
      </w:r>
      <w:r w:rsidR="00B12291" w:rsidRPr="00B12291">
        <w:rPr>
          <w:rFonts w:cstheme="minorHAnsi"/>
          <w:b/>
          <w:sz w:val="18"/>
          <w:szCs w:val="18"/>
        </w:rPr>
        <w:t xml:space="preserve"> pobytowe – </w:t>
      </w:r>
      <w:r w:rsidR="000E2DF7">
        <w:rPr>
          <w:rFonts w:cstheme="minorHAnsi"/>
          <w:b/>
          <w:sz w:val="18"/>
          <w:szCs w:val="18"/>
        </w:rPr>
        <w:t>3</w:t>
      </w:r>
      <w:r>
        <w:rPr>
          <w:rFonts w:cstheme="minorHAnsi"/>
          <w:b/>
          <w:sz w:val="18"/>
          <w:szCs w:val="18"/>
        </w:rPr>
        <w:t>0</w:t>
      </w:r>
      <w:r w:rsidR="00B12291" w:rsidRPr="00B12291">
        <w:rPr>
          <w:rFonts w:cstheme="minorHAnsi"/>
          <w:b/>
          <w:sz w:val="18"/>
          <w:szCs w:val="18"/>
        </w:rPr>
        <w:t xml:space="preserve"> sztuk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1D1B8C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B12291">
              <w:rPr>
                <w:rFonts w:cstheme="minorHAnsi"/>
                <w:sz w:val="18"/>
                <w:szCs w:val="18"/>
              </w:rPr>
              <w:t>4</w:t>
            </w:r>
            <w:r w:rsidRPr="00E403C8">
              <w:rPr>
                <w:rFonts w:cstheme="minorHAnsi"/>
                <w:sz w:val="18"/>
                <w:szCs w:val="18"/>
              </w:rPr>
              <w:t>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B12291" w:rsidRPr="00E403C8" w14:paraId="6313703D" w14:textId="77777777" w:rsidTr="00E403C8">
        <w:trPr>
          <w:trHeight w:val="414"/>
        </w:trPr>
        <w:tc>
          <w:tcPr>
            <w:tcW w:w="7994" w:type="dxa"/>
            <w:gridSpan w:val="2"/>
          </w:tcPr>
          <w:p w14:paraId="10C3985D" w14:textId="172050F0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Dostawa wszystkich łóżek będących przedmiotem postępowania w określonej nie później niż </w:t>
            </w:r>
            <w:r w:rsidR="005E1CB0">
              <w:rPr>
                <w:rFonts w:cstheme="minorHAnsi"/>
                <w:sz w:val="18"/>
                <w:szCs w:val="18"/>
              </w:rPr>
              <w:t>30</w:t>
            </w:r>
            <w:r w:rsidRPr="00B12291">
              <w:rPr>
                <w:rFonts w:cstheme="minorHAnsi"/>
                <w:sz w:val="18"/>
                <w:szCs w:val="18"/>
              </w:rPr>
              <w:t>.12.2024</w:t>
            </w:r>
          </w:p>
        </w:tc>
        <w:tc>
          <w:tcPr>
            <w:tcW w:w="2921" w:type="dxa"/>
            <w:gridSpan w:val="2"/>
          </w:tcPr>
          <w:p w14:paraId="3AB8EAC6" w14:textId="34D92CEE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75EDEB3E" w:rsidR="008664B7" w:rsidRPr="00E403C8" w:rsidRDefault="00B1229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b/>
                <w:bCs/>
                <w:sz w:val="18"/>
                <w:szCs w:val="18"/>
              </w:rPr>
              <w:t>Łóżka pobytowe – 165 sztuk</w:t>
            </w:r>
          </w:p>
        </w:tc>
      </w:tr>
      <w:tr w:rsidR="00B12291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4BD5A641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4D2BFB00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7B85F13" w14:textId="43669A9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442C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5E57E2F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2B490BE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0E960306" w14:textId="4CF773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FEB7A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6CAB977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2C5ACC7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5C45D2C" w14:textId="421115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372E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0DDE99B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32632E33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66F9EEB" w14:textId="3A695F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308D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2FBC6B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</w:t>
            </w:r>
          </w:p>
        </w:tc>
        <w:tc>
          <w:tcPr>
            <w:tcW w:w="1362" w:type="dxa"/>
          </w:tcPr>
          <w:p w14:paraId="21F0381D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73511365" w14:textId="0A3CCC2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61FA1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6A68B22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7A5855B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AE802CD" w14:textId="66A7C71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C024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4D87785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</w:t>
            </w:r>
          </w:p>
        </w:tc>
        <w:tc>
          <w:tcPr>
            <w:tcW w:w="1362" w:type="dxa"/>
          </w:tcPr>
          <w:p w14:paraId="43F9BF36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434A992E" w14:textId="5D6CA1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E35C7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277F9F1E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 trakcie obowiązywania gwarancji wymiana wszelkich części eksploatacyjnych (w tym akumulatorów) oraz realizacja przeglądów technicznych zgodnie z zaleceniami producenta po stronie wykonawcy</w:t>
            </w:r>
          </w:p>
        </w:tc>
        <w:tc>
          <w:tcPr>
            <w:tcW w:w="1362" w:type="dxa"/>
          </w:tcPr>
          <w:p w14:paraId="3D313956" w14:textId="28DD414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5C993BC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Zasilanie 230V, 50Hz z sygnalizacją włączenia do sieci</w:t>
            </w:r>
          </w:p>
        </w:tc>
        <w:tc>
          <w:tcPr>
            <w:tcW w:w="1362" w:type="dxa"/>
          </w:tcPr>
          <w:p w14:paraId="0602DB69" w14:textId="54F7A6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7D98657D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Metalowa konstrukcja łóżka lakierowana proszkowo</w:t>
            </w:r>
          </w:p>
        </w:tc>
        <w:tc>
          <w:tcPr>
            <w:tcW w:w="1362" w:type="dxa"/>
          </w:tcPr>
          <w:p w14:paraId="446763D6" w14:textId="3BB561B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5A7A5ED3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łóżka 4-segmentowe, z czego minimum 3 segmenty ruchome (tj. segment oparcia, segment siedziska, segment nożny)</w:t>
            </w:r>
          </w:p>
        </w:tc>
        <w:tc>
          <w:tcPr>
            <w:tcW w:w="1362" w:type="dxa"/>
          </w:tcPr>
          <w:p w14:paraId="26E510B9" w14:textId="3871E0C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394AC9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Segment nożny dzielony, umożliwiający pozycjonowanie łydek względem ud pod różnym kątem </w:t>
            </w:r>
          </w:p>
        </w:tc>
        <w:tc>
          <w:tcPr>
            <w:tcW w:w="1362" w:type="dxa"/>
          </w:tcPr>
          <w:p w14:paraId="61A168F0" w14:textId="03C9EA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9AD812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Łóżko zgodne z normą bezpieczeństwa elektrycznego PN 62353</w:t>
            </w:r>
          </w:p>
        </w:tc>
        <w:tc>
          <w:tcPr>
            <w:tcW w:w="1362" w:type="dxa"/>
          </w:tcPr>
          <w:p w14:paraId="44637C57" w14:textId="744805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303FC740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akumulator z sygnalizacją jego naładowania</w:t>
            </w:r>
          </w:p>
        </w:tc>
        <w:tc>
          <w:tcPr>
            <w:tcW w:w="1362" w:type="dxa"/>
          </w:tcPr>
          <w:p w14:paraId="588A0E01" w14:textId="0A0454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9CBAA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elektrycznego sterowania łóżkiem przy transporcie pacjenta, tj. bez podłączenia łóżka do ładowania lub w przypadku zaniku zasilania. Możliwość podtrzymania pracy łózka przez minimum 30 minut</w:t>
            </w:r>
          </w:p>
        </w:tc>
        <w:tc>
          <w:tcPr>
            <w:tcW w:w="1362" w:type="dxa"/>
          </w:tcPr>
          <w:p w14:paraId="0F181F12" w14:textId="6326C35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354C8EF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Długość zewnętrzna łóżka z zamontowanymi barierkami i odbojnikami –  maksymalnie: 220 cm (+/- 10 mm)</w:t>
            </w:r>
          </w:p>
        </w:tc>
        <w:tc>
          <w:tcPr>
            <w:tcW w:w="1362" w:type="dxa"/>
          </w:tcPr>
          <w:p w14:paraId="1D575D9C" w14:textId="6121BFB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65FAAF9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CC4747F" w14:textId="55145A1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Szerokość zewnętrzna łóżka z zamontowanymi barierkami i odbojnikami – maksymalnie: 100 cm (+/-10mm)</w:t>
            </w:r>
          </w:p>
        </w:tc>
        <w:tc>
          <w:tcPr>
            <w:tcW w:w="1362" w:type="dxa"/>
          </w:tcPr>
          <w:p w14:paraId="07B5F918" w14:textId="66C4D6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6CF7983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088F233" w14:textId="08CFFF9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Elektryczna regulacja wysokości łóżka mierzona od górnej krawędzi materaca, w zakresie od 40 cm do 90  cm (+/- 3 cm). </w:t>
            </w:r>
          </w:p>
        </w:tc>
        <w:tc>
          <w:tcPr>
            <w:tcW w:w="1362" w:type="dxa"/>
          </w:tcPr>
          <w:p w14:paraId="00C08B70" w14:textId="285773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2E8D0D4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Konstrukcja łóżka 4-kołowa</w:t>
            </w:r>
          </w:p>
        </w:tc>
        <w:tc>
          <w:tcPr>
            <w:tcW w:w="1362" w:type="dxa"/>
          </w:tcPr>
          <w:p w14:paraId="499A094B" w14:textId="3DE862E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744383A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Koła o średnicy min. 140 mm z możliwością centralnego blokowania. Blokada kół łatwo dostępna, w polu osiągalnym stopą </w:t>
            </w:r>
          </w:p>
        </w:tc>
        <w:tc>
          <w:tcPr>
            <w:tcW w:w="1362" w:type="dxa"/>
          </w:tcPr>
          <w:p w14:paraId="14CBBD59" w14:textId="1725F37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D1EB19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Możliwość blokady jednej osi kół, przy pozostawieniu drugiej osi skrętnej</w:t>
            </w:r>
          </w:p>
        </w:tc>
        <w:tc>
          <w:tcPr>
            <w:tcW w:w="1362" w:type="dxa"/>
          </w:tcPr>
          <w:p w14:paraId="0604CD03" w14:textId="25F99F4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7D8F43D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elektrycznej regulacji segmentu oparcia oraz segmentu nożnego</w:t>
            </w:r>
          </w:p>
        </w:tc>
        <w:tc>
          <w:tcPr>
            <w:tcW w:w="1362" w:type="dxa"/>
          </w:tcPr>
          <w:p w14:paraId="600484F2" w14:textId="746137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7C29ACF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oparcia w zakresie od min 70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do max. 90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 +/- 2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</w:p>
        </w:tc>
        <w:tc>
          <w:tcPr>
            <w:tcW w:w="1362" w:type="dxa"/>
          </w:tcPr>
          <w:p w14:paraId="401B1A03" w14:textId="50AD0D9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9D7A088" w14:textId="65DCC23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nóg w zakresie min. 45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(+/-2</w:t>
            </w:r>
            <w:r w:rsidRPr="00B12291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o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2" w:type="dxa"/>
          </w:tcPr>
          <w:p w14:paraId="1036765F" w14:textId="19F04F3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3BB1DC" w14:textId="61138D0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Sterowanie łóżkiem przy pomocy zintegrowanego z barierkami panelu elektrycznego, zamontowanego w górnej barierce bocznej, od strony pacjenta oraz od strony personelu. Panel sterujący w barierce prawej oraz lewej</w:t>
            </w:r>
          </w:p>
        </w:tc>
        <w:tc>
          <w:tcPr>
            <w:tcW w:w="1362" w:type="dxa"/>
          </w:tcPr>
          <w:p w14:paraId="2F230E47" w14:textId="331C1B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4615FF3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ustawienia pacjenta w pozycji Trendelenburga oraz -anty-Trendelenburga, kąt odchyłu minimum 30 stopni. Funkcjonalność wywoływana elektrycznie z paneli w barierkach bocznych.</w:t>
            </w:r>
          </w:p>
        </w:tc>
        <w:tc>
          <w:tcPr>
            <w:tcW w:w="1362" w:type="dxa"/>
          </w:tcPr>
          <w:p w14:paraId="6D658E01" w14:textId="5869BFE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54ED9BC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tworzywowe barierki boczne, tj. po dwie z lewej i prawej strony, jedną od frontu i jedną od szczytu łóżka</w:t>
            </w:r>
          </w:p>
        </w:tc>
        <w:tc>
          <w:tcPr>
            <w:tcW w:w="1362" w:type="dxa"/>
          </w:tcPr>
          <w:p w14:paraId="5774581F" w14:textId="6BF3CD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687DFD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3A7D17BA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segmentu nożnego o długość +/- 2/3 całości segmentu nożnego</w:t>
            </w:r>
          </w:p>
        </w:tc>
        <w:tc>
          <w:tcPr>
            <w:tcW w:w="1362" w:type="dxa"/>
          </w:tcPr>
          <w:p w14:paraId="1BB25BA6" w14:textId="03198D4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2A67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0A0371" w14:textId="6C04018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Barierka górna wypełniająca nie mniej niż 2/3 segmentu oparcia i nie więcej niż ½ długości łóżka</w:t>
            </w:r>
          </w:p>
        </w:tc>
        <w:tc>
          <w:tcPr>
            <w:tcW w:w="1362" w:type="dxa"/>
          </w:tcPr>
          <w:p w14:paraId="4332E50F" w14:textId="064E7ED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70BB726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Szczyty łóżka wyjmowane od strony nóg i głowy z możliwością zablokowania przed wyjęciem</w:t>
            </w:r>
          </w:p>
        </w:tc>
        <w:tc>
          <w:tcPr>
            <w:tcW w:w="1362" w:type="dxa"/>
          </w:tcPr>
          <w:p w14:paraId="0468B3A2" w14:textId="0C64DC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6220DC0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boczne ruchome, wyposażone w system odprowadzania barierki w momencie jej opuszczania (barierka samodomykająca, z ograniczeniem prędkości). Barierka chowająca się poniżej poziomu materaca, tak aby nie uciskała ud pacjentki w przypadku siedzenia</w:t>
            </w:r>
          </w:p>
        </w:tc>
        <w:tc>
          <w:tcPr>
            <w:tcW w:w="1362" w:type="dxa"/>
          </w:tcPr>
          <w:p w14:paraId="63D1E0DC" w14:textId="147DDEE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21A5765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Barierka po zamknięciu w pozycji dolnej chowa się poza linię materaca, zwężając łóżko, umożliwiając  tym samym przejazd przez węższe miejsca </w:t>
            </w:r>
          </w:p>
        </w:tc>
        <w:tc>
          <w:tcPr>
            <w:tcW w:w="1362" w:type="dxa"/>
          </w:tcPr>
          <w:p w14:paraId="2379E343" w14:textId="3BDD96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63BAEA1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Mechaniczna funkcja CPR</w:t>
            </w:r>
          </w:p>
        </w:tc>
        <w:tc>
          <w:tcPr>
            <w:tcW w:w="1362" w:type="dxa"/>
          </w:tcPr>
          <w:p w14:paraId="6F07C236" w14:textId="3EF1B0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14B3241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stojak na kroplówkę. Możliwość montażu stojaka od szczytu łóżka, po stronie lewej i prawej</w:t>
            </w:r>
          </w:p>
        </w:tc>
        <w:tc>
          <w:tcPr>
            <w:tcW w:w="1362" w:type="dxa"/>
          </w:tcPr>
          <w:p w14:paraId="7A260626" w14:textId="58FE573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377C2E8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Możliwość montażu stojaka na kroplówkę na wysokości pasa pacjentki od strony lewej i prawej</w:t>
            </w:r>
          </w:p>
        </w:tc>
        <w:tc>
          <w:tcPr>
            <w:tcW w:w="1362" w:type="dxa"/>
          </w:tcPr>
          <w:p w14:paraId="04D773AC" w14:textId="3064136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3211659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haczyki na worki do moczu. Haczyki dostępne po obu stronach</w:t>
            </w:r>
          </w:p>
        </w:tc>
        <w:tc>
          <w:tcPr>
            <w:tcW w:w="1362" w:type="dxa"/>
          </w:tcPr>
          <w:p w14:paraId="1ED0CFE9" w14:textId="0A48072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6072C09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Funkcja poziomująca łózko jednym przyciskiem</w:t>
            </w:r>
          </w:p>
        </w:tc>
        <w:tc>
          <w:tcPr>
            <w:tcW w:w="1362" w:type="dxa"/>
          </w:tcPr>
          <w:p w14:paraId="278B8A81" w14:textId="0847C66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2D54762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blokady wybranych funkcji elektrycznych dostępnych dla pacjenta, m.in. ograniczenie regulacji wysokości, regulacja segmentu oparcia/nożnego. </w:t>
            </w:r>
          </w:p>
        </w:tc>
        <w:tc>
          <w:tcPr>
            <w:tcW w:w="1362" w:type="dxa"/>
          </w:tcPr>
          <w:p w14:paraId="6759129D" w14:textId="44941A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DA4AE59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1C452FE0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Bezpieczne obciążenie  robocze dla każdej pozycji leża i segmentów na poziomie minimum 200 kg</w:t>
            </w:r>
          </w:p>
        </w:tc>
        <w:tc>
          <w:tcPr>
            <w:tcW w:w="1362" w:type="dxa"/>
          </w:tcPr>
          <w:p w14:paraId="20F4FEE0" w14:textId="00BE88E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1E29CC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254A745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odbojniki na każdym z czterech narożników. Odbojniki pełne, gumowane</w:t>
            </w:r>
          </w:p>
        </w:tc>
        <w:tc>
          <w:tcPr>
            <w:tcW w:w="1362" w:type="dxa"/>
          </w:tcPr>
          <w:p w14:paraId="6ADA0458" w14:textId="2897908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345D66B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Wszystkie łóżka w jednakowym, jasnoszarym kolorze</w:t>
            </w:r>
          </w:p>
        </w:tc>
        <w:tc>
          <w:tcPr>
            <w:tcW w:w="1362" w:type="dxa"/>
          </w:tcPr>
          <w:p w14:paraId="00F4E31E" w14:textId="598FD612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7E3AA77D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łózka wyposażone w wytrzymałe płyty podtrzymujące materac. Płyty montowane na każdym segmencie indywidualnie. Płyty montowane na stałe, beż możliwości wyjęcia przez personel medyczny. Możliwość demontażu jedynie przy użyciu specjalistycznych narzędzi</w:t>
            </w:r>
          </w:p>
        </w:tc>
        <w:tc>
          <w:tcPr>
            <w:tcW w:w="1362" w:type="dxa"/>
          </w:tcPr>
          <w:p w14:paraId="7766E467" w14:textId="7E1445C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2B384FE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odporny na środki do mycia i dezynfekcji, w pełni zmywalny. Materac ognio i wodoodporny, odporny na mycie i dezynfekcję. Wyposażony w kaptur chroniący zamek</w:t>
            </w:r>
          </w:p>
        </w:tc>
        <w:tc>
          <w:tcPr>
            <w:tcW w:w="1362" w:type="dxa"/>
          </w:tcPr>
          <w:p w14:paraId="52B31025" w14:textId="6AC574D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2A5E6DE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 pełni kompatybilny z dostarczanym łóżkiem</w:t>
            </w:r>
          </w:p>
        </w:tc>
        <w:tc>
          <w:tcPr>
            <w:tcW w:w="1362" w:type="dxa"/>
          </w:tcPr>
          <w:p w14:paraId="45E3F3E9" w14:textId="341FAF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03AAB24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Możliwość 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regulacji elektrycznej do pozycji krzesła kardiologicznego  </w:t>
            </w:r>
          </w:p>
        </w:tc>
        <w:tc>
          <w:tcPr>
            <w:tcW w:w="1362" w:type="dxa"/>
          </w:tcPr>
          <w:p w14:paraId="7AD857E8" w14:textId="3EAEBDE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4685F73A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wykonany z minimum trzech warstw nietoksycznej i antyalergicznej pianki poliuretanowej. Profil materaca zapewniający efektywny przepływ powietrza</w:t>
            </w:r>
          </w:p>
        </w:tc>
        <w:tc>
          <w:tcPr>
            <w:tcW w:w="1362" w:type="dxa"/>
          </w:tcPr>
          <w:p w14:paraId="7E4B7E11" w14:textId="50B7DD3F" w:rsidR="00B12291" w:rsidRPr="00B12291" w:rsidRDefault="00B12291" w:rsidP="00B122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C6A5712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Grubość materaca minimum 14 cm</w:t>
            </w:r>
          </w:p>
          <w:p w14:paraId="49940E3E" w14:textId="27070E5C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FF34C7F" w14:textId="38AF98A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CA742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369B0FB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Pokrowiec materaca paro przepuszczalny, nie przepuszczający cieczy. Pokrowiec wyposażony w odpinany zamek z pokrywą zabezpieczającą przed wnikaniem płynów. Kolor pokrowca - ciemnoszary</w:t>
            </w:r>
          </w:p>
        </w:tc>
        <w:tc>
          <w:tcPr>
            <w:tcW w:w="1362" w:type="dxa"/>
          </w:tcPr>
          <w:p w14:paraId="3476A26B" w14:textId="4380CFB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0E2DF7"/>
    <w:rsid w:val="00115805"/>
    <w:rsid w:val="00136CF9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1CB0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357A0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12291"/>
    <w:rsid w:val="00B206B9"/>
    <w:rsid w:val="00B24B9E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81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3</cp:revision>
  <cp:lastPrinted>2023-08-02T05:24:00Z</cp:lastPrinted>
  <dcterms:created xsi:type="dcterms:W3CDTF">2024-12-10T09:51:00Z</dcterms:created>
  <dcterms:modified xsi:type="dcterms:W3CDTF">2024-12-10T09:51:00Z</dcterms:modified>
</cp:coreProperties>
</file>