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AC9E" w14:textId="77777777" w:rsidR="00B1692B" w:rsidRPr="00F93F4E" w:rsidRDefault="00B1692B" w:rsidP="00064CAE">
      <w:pPr>
        <w:jc w:val="right"/>
        <w:rPr>
          <w:rFonts w:asciiTheme="majorHAnsi" w:hAnsiTheme="majorHAnsi" w:cstheme="majorHAnsi"/>
        </w:rPr>
      </w:pPr>
    </w:p>
    <w:p w14:paraId="61B2C93E" w14:textId="77777777" w:rsidR="00B1692B" w:rsidRPr="00F93F4E" w:rsidRDefault="00B1692B" w:rsidP="00064CAE">
      <w:pPr>
        <w:jc w:val="right"/>
        <w:rPr>
          <w:rFonts w:asciiTheme="majorHAnsi" w:hAnsiTheme="majorHAnsi" w:cstheme="majorHAnsi"/>
        </w:rPr>
      </w:pPr>
    </w:p>
    <w:p w14:paraId="22DF30EF" w14:textId="77777777" w:rsidR="00B1692B" w:rsidRPr="00F93F4E" w:rsidRDefault="00B1692B" w:rsidP="00064CAE">
      <w:pPr>
        <w:jc w:val="right"/>
        <w:rPr>
          <w:rFonts w:asciiTheme="majorHAnsi" w:hAnsiTheme="majorHAnsi" w:cstheme="majorHAnsi"/>
        </w:rPr>
      </w:pPr>
    </w:p>
    <w:p w14:paraId="0C7CEF9D" w14:textId="7CE51E87" w:rsidR="00132573" w:rsidRPr="00F93F4E" w:rsidRDefault="00B21788" w:rsidP="00132573">
      <w:pPr>
        <w:tabs>
          <w:tab w:val="left" w:pos="3402"/>
        </w:tabs>
        <w:spacing w:line="300" w:lineRule="auto"/>
        <w:jc w:val="right"/>
        <w:rPr>
          <w:rFonts w:asciiTheme="majorHAnsi" w:hAnsiTheme="majorHAnsi" w:cstheme="majorHAnsi"/>
          <w:b/>
          <w:i/>
          <w:sz w:val="20"/>
        </w:rPr>
      </w:pPr>
      <w:bookmarkStart w:id="0" w:name="_Hlk60652363"/>
      <w:r w:rsidRPr="00F93F4E">
        <w:rPr>
          <w:rFonts w:asciiTheme="majorHAnsi" w:hAnsiTheme="majorHAnsi" w:cstheme="majorHAnsi"/>
          <w:b/>
          <w:i/>
          <w:sz w:val="20"/>
        </w:rPr>
        <w:t>Załącznik nr 3</w:t>
      </w:r>
      <w:r w:rsidR="00132573" w:rsidRPr="00F93F4E">
        <w:rPr>
          <w:rFonts w:asciiTheme="majorHAnsi" w:hAnsiTheme="majorHAnsi" w:cstheme="majorHAnsi"/>
          <w:b/>
          <w:i/>
          <w:sz w:val="20"/>
        </w:rPr>
        <w:t xml:space="preserve"> do SWZ</w:t>
      </w:r>
      <w:bookmarkEnd w:id="0"/>
      <w:r w:rsidR="00D81C14">
        <w:rPr>
          <w:rFonts w:asciiTheme="majorHAnsi" w:hAnsiTheme="majorHAnsi" w:cstheme="majorHAnsi"/>
          <w:b/>
          <w:i/>
          <w:sz w:val="20"/>
        </w:rPr>
        <w:t xml:space="preserve"> Zmodyfikowany</w:t>
      </w:r>
    </w:p>
    <w:p w14:paraId="30010126" w14:textId="77777777" w:rsidR="00132573" w:rsidRPr="00F93F4E" w:rsidRDefault="00132573" w:rsidP="00132573">
      <w:pPr>
        <w:spacing w:line="300" w:lineRule="auto"/>
        <w:ind w:left="4956"/>
        <w:jc w:val="center"/>
        <w:rPr>
          <w:rFonts w:asciiTheme="majorHAnsi" w:hAnsiTheme="majorHAnsi" w:cstheme="majorHAnsi"/>
        </w:rPr>
      </w:pPr>
    </w:p>
    <w:p w14:paraId="5C628BB8" w14:textId="36DC2E6E" w:rsidR="00132573" w:rsidRPr="00F93F4E" w:rsidRDefault="00132573" w:rsidP="0027124B">
      <w:pPr>
        <w:autoSpaceDE w:val="0"/>
        <w:spacing w:line="300" w:lineRule="auto"/>
        <w:jc w:val="center"/>
        <w:rPr>
          <w:rFonts w:asciiTheme="majorHAnsi" w:hAnsiTheme="majorHAnsi" w:cstheme="majorHAnsi"/>
          <w:b/>
          <w:u w:val="single"/>
        </w:rPr>
      </w:pPr>
      <w:r w:rsidRPr="00F93F4E">
        <w:rPr>
          <w:rFonts w:asciiTheme="majorHAnsi" w:hAnsiTheme="majorHAnsi" w:cstheme="majorHAnsi"/>
          <w:b/>
          <w:u w:val="single"/>
        </w:rPr>
        <w:t>SZCZEGÓŁOWY OPIS PRZEDMIOTU ZAMÓWIENIA</w:t>
      </w:r>
    </w:p>
    <w:p w14:paraId="7E6BED72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</w:p>
    <w:p w14:paraId="6BB47231" w14:textId="6C005764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>Przedmiotem zamówienia jest dostawa fabrycznie nowego zestaw do pomiarów tensometrycznych co najmniej o poniższych parametrach technicznych:</w:t>
      </w:r>
    </w:p>
    <w:p w14:paraId="64258D7D" w14:textId="77777777" w:rsidR="000814DD" w:rsidRPr="00F93F4E" w:rsidRDefault="000814DD" w:rsidP="001D05E5">
      <w:p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</w:p>
    <w:p w14:paraId="4B308AF1" w14:textId="77777777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u w:val="single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u w:val="single"/>
          <w:lang w:eastAsia="en-US"/>
        </w:rPr>
        <w:t xml:space="preserve">System pomiarowy </w:t>
      </w:r>
    </w:p>
    <w:p w14:paraId="204F1186" w14:textId="77777777" w:rsidR="001D05E5" w:rsidRPr="00F93F4E" w:rsidRDefault="001D05E5" w:rsidP="000F3FC6">
      <w:pPr>
        <w:numPr>
          <w:ilvl w:val="1"/>
          <w:numId w:val="65"/>
        </w:numPr>
        <w:spacing w:line="300" w:lineRule="auto"/>
        <w:ind w:left="709"/>
        <w:contextualSpacing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bookmarkStart w:id="1" w:name="_Hlk135997580"/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Wymagane parametry i funkcjonalności </w:t>
      </w:r>
      <w:bookmarkEnd w:id="1"/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>systemu pomiarowego:</w:t>
      </w:r>
    </w:p>
    <w:p w14:paraId="14601095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budowa umożliwiająca beznarzędziowy montaż;</w:t>
      </w:r>
    </w:p>
    <w:p w14:paraId="4468E1DF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konfiguracje scentralizowane i rozproszone (możliwość umiejscowienia jednego z modułów na odległym miejscu konstrukcji mostu i poprowadzenia od niego krótkich przewodów do sensorów); </w:t>
      </w:r>
    </w:p>
    <w:p w14:paraId="06ADF544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łączenie łańcuchowe jednostek za pomocą jednego kabla dla zasilania i danych; </w:t>
      </w:r>
    </w:p>
    <w:p w14:paraId="5AA6EF98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wodo- i pyłoszczelność systemu:  co najmniej IP 66 dla wszystkich modułów, przewody o zwiększonej wodo i pyłoszczelności - standard IP złącza co najmniej IP66, oraz zaślepki dla nieużywanych kanałów, możliwość zaślepienia wszystkich kanałów (48 sztuk);</w:t>
      </w:r>
    </w:p>
    <w:p w14:paraId="51427568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strike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Używanie z oprogramowaniem komputerowym oraz wbudowaną aplikacją pokładową (dostępną przez przeglądarkę internetową);</w:t>
      </w:r>
    </w:p>
    <w:p w14:paraId="7D9EF2CA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izolacja międzykanałowa do co najmniej 100 V;  </w:t>
      </w:r>
    </w:p>
    <w:p w14:paraId="55D531AF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częstotliwości próbkowania dla modułu co najmniej 48 kHz i szerokość pasma co najmniej 8 kHz przy 24 bitach; </w:t>
      </w:r>
    </w:p>
    <w:p w14:paraId="6EDFDB9E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wsparcie dla IEEE1451.4 TEDS Class 1 &amp; 2; </w:t>
      </w:r>
    </w:p>
    <w:p w14:paraId="1CF91C76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odporność na wstrząsy co najmniej 100g i wibracje co najmniej 10g; </w:t>
      </w:r>
    </w:p>
    <w:p w14:paraId="1BC58940" w14:textId="77777777" w:rsidR="001D05E5" w:rsidRPr="00F93F4E" w:rsidRDefault="001D05E5" w:rsidP="000F3FC6">
      <w:pPr>
        <w:numPr>
          <w:ilvl w:val="0"/>
          <w:numId w:val="66"/>
        </w:numPr>
        <w:spacing w:line="300" w:lineRule="auto"/>
        <w:ind w:left="1134" w:hanging="30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zakres temperatur pracy umożliwiający pracę w zakresie co najmniej -40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vertAlign w:val="superscript"/>
          <w:lang w:eastAsia="en-US"/>
        </w:rPr>
        <w:t>o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C do + 65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vertAlign w:val="superscript"/>
          <w:lang w:eastAsia="en-US"/>
        </w:rPr>
        <w:t xml:space="preserve"> o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C.</w:t>
      </w:r>
    </w:p>
    <w:p w14:paraId="042F2070" w14:textId="77777777" w:rsidR="001D05E5" w:rsidRPr="00F93F4E" w:rsidRDefault="001D05E5" w:rsidP="001D05E5">
      <w:pPr>
        <w:spacing w:line="300" w:lineRule="auto"/>
        <w:ind w:left="113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1EFC2768" w14:textId="77777777" w:rsidR="001D05E5" w:rsidRPr="00F93F4E" w:rsidRDefault="001D05E5" w:rsidP="000F3FC6">
      <w:pPr>
        <w:numPr>
          <w:ilvl w:val="1"/>
          <w:numId w:val="65"/>
        </w:numPr>
        <w:spacing w:line="300" w:lineRule="auto"/>
        <w:ind w:left="709" w:hanging="357"/>
        <w:contextualSpacing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Wymagane parametry i funkcjonalności jednostki rejestracyjnej i  komunikacyjnej i zasilającej: </w:t>
      </w:r>
    </w:p>
    <w:p w14:paraId="4A807588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przepustowość magistrali co najmniej 6.5 MSamples/s; </w:t>
      </w:r>
    </w:p>
    <w:p w14:paraId="3D29B773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wejścia cyfrowe: co najmniej 4 szyny CAN oraz co najmniej 3 złącza dla impulsów cyfrowych (co najmniej 9 kanałów) lub enkoderów, wsparcie dla CAN zgodne z ISO11898;</w:t>
      </w:r>
    </w:p>
    <w:p w14:paraId="046F96D7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co najmniej 1 Wejście GNSS, w zestawie anteny GNSS oraz Wi-Fi; </w:t>
      </w:r>
    </w:p>
    <w:p w14:paraId="47FA6456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wbudowany co najmniej 1 dysk SSD o pojemności co najmniej 240GB;</w:t>
      </w:r>
    </w:p>
    <w:p w14:paraId="6BE813DA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co najmniej 1x Ethernet (1GbE), 1x USB(3.0) lub wyższe oraz Wi-Fi;  </w:t>
      </w:r>
    </w:p>
    <w:p w14:paraId="414E7F84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synchronizacja wszystkich połączonych jednostek; </w:t>
      </w:r>
    </w:p>
    <w:p w14:paraId="7B7EC563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wbudowana aplikacja pomiarowa z możliwością konfiguracji kanałów pomiarowych oraz sposobu pomiaru, przeprowadzenia pomiaru oraz rejestracji; </w:t>
      </w:r>
    </w:p>
    <w:p w14:paraId="49677062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podglądu sygnałów podczas przeprowadzania pomiaru „on-line”; </w:t>
      </w:r>
    </w:p>
    <w:p w14:paraId="204F3E8A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zdalnego uruchomienia pomiaru za pomocą dedykowanej aplikacji; </w:t>
      </w:r>
    </w:p>
    <w:p w14:paraId="1B1EECEE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wykonania pomiarów pojedynczych i cyklicznych; </w:t>
      </w:r>
    </w:p>
    <w:p w14:paraId="0C74342A" w14:textId="77777777" w:rsidR="001D05E5" w:rsidRPr="00F93F4E" w:rsidRDefault="001D05E5" w:rsidP="000F3FC6">
      <w:pPr>
        <w:numPr>
          <w:ilvl w:val="0"/>
          <w:numId w:val="67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>możliwość wykonania operacji statystycznych na sygnałach (co najmniej: min, max, średnia, RMS).</w:t>
      </w:r>
    </w:p>
    <w:p w14:paraId="6101F098" w14:textId="77777777" w:rsidR="001D05E5" w:rsidRPr="00F93F4E" w:rsidRDefault="001D05E5" w:rsidP="001D05E5">
      <w:p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2277E00C" w14:textId="77777777" w:rsidR="001D05E5" w:rsidRPr="00F93F4E" w:rsidRDefault="001D05E5" w:rsidP="000F3FC6">
      <w:pPr>
        <w:numPr>
          <w:ilvl w:val="1"/>
          <w:numId w:val="65"/>
        </w:numPr>
        <w:spacing w:line="300" w:lineRule="auto"/>
        <w:ind w:left="709" w:hanging="357"/>
        <w:contextualSpacing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Wymagane parametry i funkcjonalności jednostki zasilającej: </w:t>
      </w:r>
    </w:p>
    <w:p w14:paraId="6BDAE441" w14:textId="77777777" w:rsidR="001D05E5" w:rsidRPr="00F93F4E" w:rsidRDefault="001D05E5" w:rsidP="000F3FC6">
      <w:pPr>
        <w:numPr>
          <w:ilvl w:val="0"/>
          <w:numId w:val="68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jednostka zasilająca dostarczająca do łańcucha jednostek stabilne zasilanie buforowe sieciowe oraz akumulatorowe (bateryjne) z możliwością przełączania trybu pracy;</w:t>
      </w:r>
    </w:p>
    <w:p w14:paraId="47737EC9" w14:textId="77777777" w:rsidR="001D05E5" w:rsidRPr="00F93F4E" w:rsidRDefault="001D05E5" w:rsidP="000F3FC6">
      <w:pPr>
        <w:numPr>
          <w:ilvl w:val="0"/>
          <w:numId w:val="68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bufor bezprzerwowego zasilania dla rozruchu i bezpiecznego wyłączenia;</w:t>
      </w:r>
    </w:p>
    <w:p w14:paraId="34D3B186" w14:textId="77777777" w:rsidR="001D05E5" w:rsidRPr="00F93F4E" w:rsidRDefault="001D05E5" w:rsidP="000F3FC6">
      <w:pPr>
        <w:numPr>
          <w:ilvl w:val="0"/>
          <w:numId w:val="68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zdalne włączanie/wyłączanie za pomocą zewnętrznego sygnału napięciowego lub przełącznika;  </w:t>
      </w:r>
    </w:p>
    <w:p w14:paraId="384E269D" w14:textId="77777777" w:rsidR="001D05E5" w:rsidRPr="00F93F4E" w:rsidRDefault="001D05E5" w:rsidP="000F3FC6">
      <w:pPr>
        <w:numPr>
          <w:ilvl w:val="0"/>
          <w:numId w:val="68"/>
        </w:numPr>
        <w:spacing w:line="300" w:lineRule="auto"/>
        <w:ind w:left="113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centralny włącznik/wyłącznik systemu.   </w:t>
      </w:r>
    </w:p>
    <w:p w14:paraId="292C3312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1FB011CF" w14:textId="77777777" w:rsidR="001D05E5" w:rsidRPr="00F93F4E" w:rsidRDefault="001D05E5" w:rsidP="000F3FC6">
      <w:pPr>
        <w:numPr>
          <w:ilvl w:val="1"/>
          <w:numId w:val="65"/>
        </w:numPr>
        <w:spacing w:line="300" w:lineRule="auto"/>
        <w:ind w:left="709" w:hanging="357"/>
        <w:contextualSpacing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Wymagane parametry i funkcjonalności analizatorów sygnałów, jednostki pomiarowe: </w:t>
      </w:r>
    </w:p>
    <w:p w14:paraId="40A7E4A0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co najmniej 48 kanałów pomiarowych umożliwiających synchroniczną realizację pomiaru, rozdzielone na co najmniej 3 niezależne moduły pomiarowe, możliwość umiejscowienia każdego z modułów na odległym miejscu konstrukcji mostu bez dodatkowej obudowy i poprowadzenia od niego krótkich przewodów do sensorów; </w:t>
      </w:r>
    </w:p>
    <w:p w14:paraId="03FAB156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obsługa co najmniej 24 czujników w technologii IEPE ze wsparciem dla technologii TEDS z częstotliwością próbkowania co najmniej 48kHz synchronicznie;</w:t>
      </w:r>
    </w:p>
    <w:p w14:paraId="4371D03D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co najmniej 48 kanałów  ze wsparciem tensometrów o oporności 350 Ω lub 120 Ω pracujących w układzie pełnego mostka, półmostka lub ćwierćmostka;  </w:t>
      </w:r>
    </w:p>
    <w:p w14:paraId="004E7D25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filtracji co najmniej: filtr Butterworth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>’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a, Bassel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>’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a; </w:t>
      </w:r>
    </w:p>
    <w:p w14:paraId="5E23A4C5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obsługa co najmniej 24 sensorów LVDT, lub PT100, lub PT1000;</w:t>
      </w:r>
    </w:p>
    <w:p w14:paraId="1874F97B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co najmniej 24 czujników potencjometrycznych; </w:t>
      </w:r>
    </w:p>
    <w:p w14:paraId="5A93925D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co najmniej 24 kanałów napięciowych z napięciem do co najmniej 60V, obsługa co najmniej 24 kanałów napięciowych do co najmniej 10 V; </w:t>
      </w:r>
    </w:p>
    <w:p w14:paraId="6A62D9D7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napięcie zasilania dla aktywnych przetworników co najmniej 24V DC;</w:t>
      </w:r>
    </w:p>
    <w:p w14:paraId="6D4C080F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przetworników 0/4-20 mA; </w:t>
      </w:r>
    </w:p>
    <w:p w14:paraId="18DE2A6D" w14:textId="77777777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czujników piezorezystancyjnych, tachometrycznych, indukcyjnych; </w:t>
      </w:r>
    </w:p>
    <w:p w14:paraId="1E0E5E8F" w14:textId="5138EF52" w:rsidR="001D05E5" w:rsidRPr="00F93F4E" w:rsidRDefault="001D05E5" w:rsidP="000F3FC6">
      <w:pPr>
        <w:numPr>
          <w:ilvl w:val="0"/>
          <w:numId w:val="69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czujników z zasilaniem zewnętrznym; </w:t>
      </w:r>
    </w:p>
    <w:p w14:paraId="1041F9A1" w14:textId="77777777" w:rsidR="00B62818" w:rsidRPr="00F93F4E" w:rsidRDefault="00B62818" w:rsidP="00B62818">
      <w:pPr>
        <w:spacing w:line="300" w:lineRule="auto"/>
        <w:ind w:left="113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284E47F4" w14:textId="77777777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u w:val="single"/>
          <w:lang w:eastAsia="en-US"/>
        </w:rPr>
        <w:t>Oprogramowanie</w:t>
      </w:r>
    </w:p>
    <w:p w14:paraId="5E2B115D" w14:textId="77777777" w:rsidR="001D05E5" w:rsidRPr="00F93F4E" w:rsidRDefault="001D05E5" w:rsidP="000F3FC6">
      <w:pPr>
        <w:numPr>
          <w:ilvl w:val="0"/>
          <w:numId w:val="70"/>
        </w:numPr>
        <w:spacing w:line="300" w:lineRule="auto"/>
        <w:ind w:left="709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Oprogramowanie do rejestracji i eksportu wyników co najmniej o poniższych funkcjonalnościach: </w:t>
      </w:r>
    </w:p>
    <w:p w14:paraId="3545FFB1" w14:textId="77777777" w:rsidR="001D05E5" w:rsidRPr="00F93F4E" w:rsidRDefault="001D05E5" w:rsidP="000F3FC6">
      <w:pPr>
        <w:numPr>
          <w:ilvl w:val="0"/>
          <w:numId w:val="71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oprogramowanie pozwalające na pełną konfigurację pomiarów włącznie z definicją wszystkich kanałów pomiarowych obsługiwanego analizatora oraz parametrów podłączonych czujników;  </w:t>
      </w:r>
    </w:p>
    <w:p w14:paraId="596EFA26" w14:textId="77777777" w:rsidR="001D05E5" w:rsidRPr="00F93F4E" w:rsidRDefault="001D05E5" w:rsidP="000F3FC6">
      <w:pPr>
        <w:numPr>
          <w:ilvl w:val="0"/>
          <w:numId w:val="71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obsługa wielu częstotliwości próbkowania w zależności od kanału/modułu pomiarowego;  możliwość wyboru częstotliwości próbkowania w zależności np. od typu kanału pomiarowego, (inna dla tensometrii, inna dla czujnika drgań). Dedykowane rozwiązanie do przeprowadzania kalibracji, kalibracja obsługiwanych urządzeń pomiarowych;</w:t>
      </w:r>
    </w:p>
    <w:p w14:paraId="117F5D46" w14:textId="77777777" w:rsidR="001D05E5" w:rsidRPr="00F93F4E" w:rsidRDefault="001D05E5" w:rsidP="000F3FC6">
      <w:pPr>
        <w:numPr>
          <w:ilvl w:val="0"/>
          <w:numId w:val="71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konfiguracja pomiaru: wyzwalanie pomiarów manualne lub z dowolnego kanału; </w:t>
      </w:r>
    </w:p>
    <w:p w14:paraId="5E29F542" w14:textId="77777777" w:rsidR="001D05E5" w:rsidRPr="00F93F4E" w:rsidRDefault="001D05E5" w:rsidP="000F3FC6">
      <w:pPr>
        <w:numPr>
          <w:ilvl w:val="0"/>
          <w:numId w:val="71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akwizycja danych, ich obróbka, wizualizacja i raportowanie wyników, eksport wyników do formatów, co najmniej uniwersalnych np. UNV, txt, *.xls;</w:t>
      </w:r>
    </w:p>
    <w:p w14:paraId="0AB2D2FA" w14:textId="77777777" w:rsidR="001D05E5" w:rsidRPr="00F93F4E" w:rsidRDefault="001D05E5" w:rsidP="000F3FC6">
      <w:pPr>
        <w:numPr>
          <w:ilvl w:val="0"/>
          <w:numId w:val="71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 xml:space="preserve">licencja:  pełna licencja komercyjna </w:t>
      </w:r>
      <w:bookmarkStart w:id="2" w:name="_Hlk136367246"/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bez ograniczeń związanych z wykorzystaniem komercyjnym</w:t>
      </w:r>
      <w:bookmarkEnd w:id="2"/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, dożywotnia, z rocznym wsparciem technicznym - profesjonalna pomoc w konfiguracji, szczegółowe instrukcje użytkowania zakupionego sprzętu oraz wskazówki jak poradzić sobie z trudnościami podczas pracy z urządzeniami; wsparcie techniczne obejmuje ponadto update do najnowszej wersji oprogramowania. Wsparcie techniczne odbywać się będzie przez email, system internetowy i telefon;</w:t>
      </w:r>
    </w:p>
    <w:p w14:paraId="095466D0" w14:textId="77777777" w:rsidR="001D05E5" w:rsidRPr="00F93F4E" w:rsidRDefault="001D05E5" w:rsidP="001D05E5">
      <w:pPr>
        <w:spacing w:line="300" w:lineRule="auto"/>
        <w:ind w:left="113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05F8F090" w14:textId="77777777" w:rsidR="001D05E5" w:rsidRPr="00F93F4E" w:rsidRDefault="001D05E5" w:rsidP="000F3FC6">
      <w:pPr>
        <w:numPr>
          <w:ilvl w:val="0"/>
          <w:numId w:val="70"/>
        </w:numPr>
        <w:spacing w:line="300" w:lineRule="auto"/>
        <w:ind w:left="709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Oprogramowanie umożliwiającą wykonanie złożonych analiz przetwarzania sygnałów pomiarowych co najmniej o poniższych funkcjonalnościach:</w:t>
      </w:r>
    </w:p>
    <w:p w14:paraId="3A31843A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definicji parametrów akwizycji przebiegów czasowych oraz wizualizacji zarejestrowanych wyników;</w:t>
      </w:r>
    </w:p>
    <w:p w14:paraId="18AA7C97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 stosowania operacji logicznych, matematycznych i trygonometrycznych, całkowanie i różniczkowanie oraz filtrację;</w:t>
      </w:r>
    </w:p>
    <w:p w14:paraId="5F7A6653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wsparcie dla technologii TEDS;  </w:t>
      </w:r>
    </w:p>
    <w:p w14:paraId="75B46434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dedykowane narzędzie w postaci tabeli przestawnej umożliwiającej przegląd danych statystycznych, surowych przebiegów czasowych;  </w:t>
      </w:r>
    </w:p>
    <w:p w14:paraId="247507DE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odczytu sygnału online zapewniające aktualne informacje o postępach pomiarów oraz umożliwiające podczas gromadzenia danych na wizualizację danych czasowych, FFT, statystyk lub kanałów wirtualnych; </w:t>
      </w:r>
    </w:p>
    <w:p w14:paraId="38BB958F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konfiguracja kanału wirtualnego, automatyczne ustawianie zakres kanałów; </w:t>
      </w:r>
    </w:p>
    <w:p w14:paraId="0F65547C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analiza sygnałów: co najmniej wykonanie analizy FFT, analizy oktawowe i tercjowe, PSD, mapy spektralne, wartości skuteczne, analiza rzędów; </w:t>
      </w:r>
    </w:p>
    <w:p w14:paraId="3D66E21A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wyznaczania funkcji przejścia wielkości fizycznych dla konstrukcji; </w:t>
      </w:r>
    </w:p>
    <w:p w14:paraId="2EFCDD1B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Operational Deflection Shape – wizualizacja zmierzonych drgań konstrukcji na uproszczonym modelu geometrycznym bazujące na spektrum, FRF i cross-spektrum; </w:t>
      </w:r>
    </w:p>
    <w:p w14:paraId="35BB3099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analizy trwałości, stress-life, strain-life;</w:t>
      </w:r>
    </w:p>
    <w:p w14:paraId="6944249D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analizy wytrzymałości zmęczeniowej, analizy bazujące na metrykach Rainflow; </w:t>
      </w:r>
    </w:p>
    <w:p w14:paraId="763D7C5D" w14:textId="77777777" w:rsidR="001D05E5" w:rsidRPr="00F93F4E" w:rsidRDefault="001D05E5" w:rsidP="000F3FC6">
      <w:pPr>
        <w:numPr>
          <w:ilvl w:val="0"/>
          <w:numId w:val="72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wbudowane przetwarzanie modeli symulacyjnych z testowaniem systemu w oparciu o model (modelbased system testing).</w:t>
      </w:r>
    </w:p>
    <w:p w14:paraId="2FD8FA1E" w14:textId="77777777" w:rsidR="001D05E5" w:rsidRPr="00F93F4E" w:rsidRDefault="001D05E5" w:rsidP="001D05E5">
      <w:pPr>
        <w:spacing w:line="300" w:lineRule="auto"/>
        <w:ind w:left="113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32000DF7" w14:textId="77777777" w:rsidR="001D05E5" w:rsidRPr="00F93F4E" w:rsidRDefault="001D05E5" w:rsidP="000F3FC6">
      <w:pPr>
        <w:numPr>
          <w:ilvl w:val="0"/>
          <w:numId w:val="70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Licencja:  pełna licencja bez ograniczeń związanych z wykorzystaniem komercyjnym, dożywotnia, z rocznym wsparciem technicznym. Wsparcie techniczne poprzez profesjonalną pomoc w konfiguracji, szczegółowe instrukcje użytkowania zakupionego sprzętu oraz wskazówki jak poradzić sobie z trudnościami podczas pracy z urządzeniami; wsparcie techniczne obejmuje ponadto update do najnowszej wersji oprogramowania. Wsparcie techniczne odbywać się będzie przez email, system internetowy i telefon.</w:t>
      </w:r>
    </w:p>
    <w:p w14:paraId="472497FE" w14:textId="77777777" w:rsidR="001D05E5" w:rsidRPr="00F93F4E" w:rsidRDefault="001D05E5" w:rsidP="001D05E5">
      <w:pPr>
        <w:spacing w:line="300" w:lineRule="auto"/>
        <w:ind w:left="840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61E7CE41" w14:textId="77777777" w:rsidR="001D05E5" w:rsidRPr="00F93F4E" w:rsidRDefault="001D05E5" w:rsidP="000F3FC6">
      <w:pPr>
        <w:numPr>
          <w:ilvl w:val="0"/>
          <w:numId w:val="70"/>
        </w:numPr>
        <w:spacing w:line="300" w:lineRule="auto"/>
        <w:ind w:left="709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Oprogramowanie co najmniej o poniższych funkcjonalnościach:</w:t>
      </w:r>
    </w:p>
    <w:p w14:paraId="14E06B6F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umożliwiające walidację obliczeń i porównanie danych dzięki zastosowaniu tabel przestawnych w połączeniu z automatycznymi wyświetlaczami zapewniającymi bezpośredni wgląd w dane;</w:t>
      </w:r>
    </w:p>
    <w:p w14:paraId="0086304F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>narzędzia pozwalające budować lub edytować procesy obróbki danych pomiarowych, które odwzorowują procedury, w środowisku graficznym. Metody muszą umożliwiać co najmniej: dodawanie, usuwanie, przenoszenie, kopiowanie, wklejanie, podłączanie oraz tworzenie metod łączonych. Osadzenie skryptu w procesie - możliwość implementacji metody przy użyciu co najmniej  MATLAB, Python;</w:t>
      </w:r>
    </w:p>
    <w:p w14:paraId="36F7F5E8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wykorzystanie standardu FMU zawierających modele symulacyjne podczas testów fizycznych;  </w:t>
      </w:r>
    </w:p>
    <w:p w14:paraId="61A18964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przeprowadzania pomiarów wibroakustycznych, pomiarów drgań obiektów;  </w:t>
      </w:r>
    </w:p>
    <w:p w14:paraId="0D20AAE8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możliwość przeprowadzania wibroakustycznego TPA (analizy ścieżek przejścia sygnału); </w:t>
      </w:r>
    </w:p>
    <w:p w14:paraId="39493723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pakiet narzędzi dedykowanych – do pomiarów i analiz akustycznych, akustyki architektonicznej, akustyki wnętrz, oraz psychoakustyki, pomiary i analizy jakości dźwięku (Sound Quality);</w:t>
      </w:r>
    </w:p>
    <w:p w14:paraId="48D4FDAD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przeprowadzania zaawansowanych testów wibracyjnych w pętli kontroli sprzężenia zwrotnego;</w:t>
      </w:r>
    </w:p>
    <w:p w14:paraId="2E14A606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przeprowadzenia testu modalnego eksperymentalnego na obiekcie przy pomocy młotka modalnego lub wzbudnika modalnego;</w:t>
      </w:r>
    </w:p>
    <w:p w14:paraId="6931F54A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możliwość przeprowadzania eksperymentalnej oraz operacyjnej analizy modalnej obiektu;</w:t>
      </w:r>
    </w:p>
    <w:p w14:paraId="3C9C122B" w14:textId="77777777" w:rsidR="001D05E5" w:rsidRPr="00F93F4E" w:rsidRDefault="001D05E5" w:rsidP="000F3FC6">
      <w:pPr>
        <w:numPr>
          <w:ilvl w:val="0"/>
          <w:numId w:val="73"/>
        </w:numPr>
        <w:spacing w:line="300" w:lineRule="auto"/>
        <w:ind w:left="1134" w:hanging="42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licencja:  wersja akademicka do dydaktyki i badań niekomercyjnych, licencja dożywotnia. </w:t>
      </w:r>
    </w:p>
    <w:p w14:paraId="4A71BFE1" w14:textId="0E9FB088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08DB06CA" w14:textId="77777777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u w:val="single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u w:val="single"/>
          <w:lang w:eastAsia="en-US"/>
        </w:rPr>
        <w:t xml:space="preserve">Sensory </w:t>
      </w:r>
    </w:p>
    <w:p w14:paraId="55A02403" w14:textId="77777777" w:rsidR="001D05E5" w:rsidRPr="00F93F4E" w:rsidRDefault="001D05E5" w:rsidP="000F3FC6">
      <w:pPr>
        <w:numPr>
          <w:ilvl w:val="0"/>
          <w:numId w:val="74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Zestaw jednoosiowych oraz trójosiowych akcelerometrów MEMS wraz z przewodami </w:t>
      </w: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br/>
        <w:t xml:space="preserve">i akcelerometrami: </w:t>
      </w:r>
    </w:p>
    <w:p w14:paraId="7B925C81" w14:textId="77777777" w:rsidR="001D05E5" w:rsidRPr="00F93F4E" w:rsidRDefault="001D05E5" w:rsidP="000F3FC6">
      <w:pPr>
        <w:numPr>
          <w:ilvl w:val="0"/>
          <w:numId w:val="75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Komplet 3 jednoosiowych akcelerometrów MEMS DC: </w:t>
      </w:r>
    </w:p>
    <w:p w14:paraId="38F3C3C4" w14:textId="20934A51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Liczba osi pomiarowych: co najmniej 1 </w:t>
      </w:r>
    </w:p>
    <w:p w14:paraId="7AA9F643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Typ czujnika: MEMS, DC </w:t>
      </w:r>
    </w:p>
    <w:p w14:paraId="65597427" w14:textId="715EE4BA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Czułość (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 xml:space="preserve">± 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3%): 270 mV/g </w:t>
      </w:r>
    </w:p>
    <w:p w14:paraId="33C9FA46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>±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10 g pk </w:t>
      </w:r>
    </w:p>
    <w:p w14:paraId="66931DCD" w14:textId="5F5DE3A3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Zakres częstotliwości (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 xml:space="preserve">± 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10 %): 0 Hz do 1500 Hz </w:t>
      </w:r>
    </w:p>
    <w:p w14:paraId="34EB4187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Nieliniowość: ≤1 % </w:t>
      </w:r>
    </w:p>
    <w:p w14:paraId="403D9BC7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Czułość na ruchy poprzeczne: ≤3% </w:t>
      </w:r>
    </w:p>
    <w:p w14:paraId="168E02ED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Odporność na udar: 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 xml:space="preserve">± 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5000 g </w:t>
      </w:r>
    </w:p>
    <w:p w14:paraId="61130B92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temp. pracy: −54°C do +121°C </w:t>
      </w:r>
    </w:p>
    <w:p w14:paraId="32AFD933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Współczynnik temperaturowy czułości: </w:t>
      </w:r>
      <w:r w:rsidRPr="00F93F4E">
        <w:rPr>
          <w:rFonts w:asciiTheme="majorHAnsi" w:eastAsia="Arial" w:hAnsiTheme="majorHAnsi" w:cs="Calibri"/>
          <w:bCs w:val="0"/>
          <w:kern w:val="0"/>
          <w:sz w:val="22"/>
          <w:szCs w:val="22"/>
          <w:lang w:eastAsia="en-US"/>
        </w:rPr>
        <w:t>±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2,5 % </w:t>
      </w:r>
    </w:p>
    <w:p w14:paraId="1F2C485B" w14:textId="5141C4CE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Napięcie zasilania: co najmniej 8 V do 30 V DC </w:t>
      </w:r>
    </w:p>
    <w:p w14:paraId="00E081D6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Szum spektralny: 50 µg/√Hz </w:t>
      </w:r>
    </w:p>
    <w:p w14:paraId="3FE199C0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anodyzowane aluminium lub stal nierdzewna </w:t>
      </w:r>
    </w:p>
    <w:p w14:paraId="4CD43EA1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Wymiary, nie większe niż 8x22x26mm  </w:t>
      </w:r>
    </w:p>
    <w:p w14:paraId="057390AA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Masa: nie więcej niż 20 gram </w:t>
      </w:r>
    </w:p>
    <w:p w14:paraId="3D818BFF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elektryczne: zintegrowany przewód  co najmniej 3 m  </w:t>
      </w:r>
    </w:p>
    <w:p w14:paraId="2DE47EFE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Przewód przedłużający zakończony złączem kompatybilnym z analizatorem </w:t>
      </w:r>
    </w:p>
    <w:p w14:paraId="31E8A972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Montaż poprzez otwory przelotowe przy pomocy śrub montażowych </w:t>
      </w:r>
    </w:p>
    <w:p w14:paraId="45B945B8" w14:textId="77777777" w:rsidR="001D05E5" w:rsidRPr="00F93F4E" w:rsidRDefault="001D05E5" w:rsidP="000F3FC6">
      <w:pPr>
        <w:numPr>
          <w:ilvl w:val="0"/>
          <w:numId w:val="77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Czujnik musi posiadać fabryczny protokół kalibracji </w:t>
      </w:r>
    </w:p>
    <w:p w14:paraId="6FB46C5F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 xml:space="preserve"> </w:t>
      </w:r>
    </w:p>
    <w:p w14:paraId="77AE721E" w14:textId="77777777" w:rsidR="001D05E5" w:rsidRPr="00F93F4E" w:rsidRDefault="001D05E5" w:rsidP="000F3FC6">
      <w:pPr>
        <w:numPr>
          <w:ilvl w:val="0"/>
          <w:numId w:val="75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Komplet 3 jednoosiowych akcelerometrów MEMS DC: </w:t>
      </w:r>
    </w:p>
    <w:p w14:paraId="7A5CE19B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Liczba osi pomiarowych: co najmniej 1 </w:t>
      </w:r>
    </w:p>
    <w:p w14:paraId="5847E920" w14:textId="5B59DD2F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Typ czujnika: MEMS, DC </w:t>
      </w:r>
    </w:p>
    <w:p w14:paraId="59C7472A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Czułość (± 3%): 1350 mV/g – do dyskusji </w:t>
      </w:r>
    </w:p>
    <w:p w14:paraId="4D020E98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co najmniej ±2 g pk  </w:t>
      </w:r>
    </w:p>
    <w:p w14:paraId="62F6AC1E" w14:textId="5DCBBC2F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Zakres częstotliw</w:t>
      </w:r>
      <w:r w:rsidR="00335F05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ości (± 10 %): 0 Hz do 350 Hz</w:t>
      </w:r>
    </w:p>
    <w:p w14:paraId="2C35DF01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Nieliniowość: ≤1 % </w:t>
      </w:r>
    </w:p>
    <w:p w14:paraId="29B8F69E" w14:textId="05A1F2C9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Zakre</w:t>
      </w:r>
      <w:r w:rsidR="00335F05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s temp. pracy: −54°C do +121°C</w:t>
      </w:r>
      <w:r w:rsidRPr="008336CB">
        <w:rPr>
          <w:rFonts w:asciiTheme="majorHAnsi" w:eastAsia="Calibri" w:hAnsiTheme="majorHAnsi" w:cs="Calibri"/>
          <w:bCs w:val="0"/>
          <w:color w:val="FF0000"/>
          <w:kern w:val="0"/>
          <w:sz w:val="22"/>
          <w:szCs w:val="22"/>
          <w:lang w:eastAsia="en-US"/>
        </w:rPr>
        <w:t xml:space="preserve"> </w:t>
      </w:r>
    </w:p>
    <w:p w14:paraId="37D9C94A" w14:textId="334323E8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Współczynnik t</w:t>
      </w:r>
      <w:r w:rsidR="00335F05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emperaturowy czułości: ±2,5 % </w:t>
      </w:r>
    </w:p>
    <w:p w14:paraId="390BF712" w14:textId="6A5A10E5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Napięcie zasila</w:t>
      </w:r>
      <w:r w:rsidR="00335F05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nia: co najmniej 8 V do 30 V DC</w:t>
      </w:r>
      <w:r w:rsidRPr="008336CB">
        <w:rPr>
          <w:rFonts w:asciiTheme="majorHAnsi" w:eastAsia="Calibri" w:hAnsiTheme="majorHAnsi" w:cs="Calibri"/>
          <w:bCs w:val="0"/>
          <w:color w:val="FF0000"/>
          <w:kern w:val="0"/>
          <w:sz w:val="22"/>
          <w:szCs w:val="22"/>
          <w:lang w:eastAsia="en-US"/>
        </w:rPr>
        <w:t xml:space="preserve"> </w:t>
      </w:r>
    </w:p>
    <w:p w14:paraId="1B12498E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Szum spektralny, maks: 20 µg/√Hz </w:t>
      </w:r>
    </w:p>
    <w:p w14:paraId="279C8229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anodyzowane aluminium lub stal nierdzewna  </w:t>
      </w:r>
    </w:p>
    <w:p w14:paraId="3A3A33DD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Wymiary, nie większe niż 9x22x26mm  </w:t>
      </w:r>
    </w:p>
    <w:p w14:paraId="65E47E5F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Masa, nie przekracza: 10 gram  </w:t>
      </w:r>
    </w:p>
    <w:p w14:paraId="09D10198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elektryczne: zintegrowany przewód  co najmniej 3 m </w:t>
      </w:r>
    </w:p>
    <w:p w14:paraId="3236DA18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Przewód przedłużający zakończony złączem kompatybilnym z analizatorem </w:t>
      </w:r>
    </w:p>
    <w:p w14:paraId="7D599532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Montaż poprzez otwory przelotowe przy pomocy śrub montażowych </w:t>
      </w:r>
    </w:p>
    <w:p w14:paraId="70BD8E21" w14:textId="77777777" w:rsidR="001D05E5" w:rsidRPr="00F93F4E" w:rsidRDefault="001D05E5" w:rsidP="000F3FC6">
      <w:pPr>
        <w:numPr>
          <w:ilvl w:val="0"/>
          <w:numId w:val="78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Czujnik musi posiadać fabryczny protokół kalibracji </w:t>
      </w:r>
    </w:p>
    <w:p w14:paraId="330288A4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</w:t>
      </w:r>
    </w:p>
    <w:p w14:paraId="0340D0C7" w14:textId="77777777" w:rsidR="001D05E5" w:rsidRPr="00F93F4E" w:rsidRDefault="001D05E5" w:rsidP="000F3FC6">
      <w:pPr>
        <w:numPr>
          <w:ilvl w:val="0"/>
          <w:numId w:val="75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Komplet 2 trójosiowych akcelerometrów MEMS DC : </w:t>
      </w:r>
    </w:p>
    <w:p w14:paraId="6896038F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Liczba osi pomiarowych: co najmniej 3 </w:t>
      </w:r>
    </w:p>
    <w:p w14:paraId="5E1377AA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Typ czujnika: MEMS, DC  </w:t>
      </w:r>
    </w:p>
    <w:p w14:paraId="2BE2A91F" w14:textId="59604F44" w:rsidR="001D05E5" w:rsidRPr="00F93F4E" w:rsidRDefault="00335F0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Czułość (± 3%): 135 mV/g</w:t>
      </w:r>
    </w:p>
    <w:p w14:paraId="317EE779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±10 g pk </w:t>
      </w:r>
    </w:p>
    <w:p w14:paraId="6C82E54C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częstotliwości (± 10 %): 0 Hz do 1500 Hz  </w:t>
      </w:r>
    </w:p>
    <w:p w14:paraId="74A3745D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Nieliniowość: ≤1 % </w:t>
      </w:r>
    </w:p>
    <w:p w14:paraId="3DB41962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Napięcie zasilania, zakres co najmniej: 8 V do 30 V DC  </w:t>
      </w:r>
    </w:p>
    <w:p w14:paraId="413E9959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Szum spektralny: maks. 50 µg/√Hz </w:t>
      </w:r>
    </w:p>
    <w:p w14:paraId="198DAF85" w14:textId="7C698041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tytan lub stal nierdzewna </w:t>
      </w:r>
    </w:p>
    <w:p w14:paraId="6B934007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Wymiary nie większe niż 24x24x24 mm </w:t>
      </w:r>
    </w:p>
    <w:p w14:paraId="0B0C4E06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Masa, nie przekracza: 120 gram </w:t>
      </w:r>
    </w:p>
    <w:p w14:paraId="7219EADB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elektryczne: zintegrowany przewód co najmniej 3 m  </w:t>
      </w:r>
    </w:p>
    <w:p w14:paraId="6753D9FA" w14:textId="77777777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Przewód przedłużający zakończony złączem kompatybilnym z analizatorem </w:t>
      </w:r>
    </w:p>
    <w:p w14:paraId="16DE46EE" w14:textId="1811839B" w:rsidR="001D05E5" w:rsidRPr="00F93F4E" w:rsidRDefault="001D05E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Czujnik musi posiadać</w:t>
      </w:r>
      <w:r w:rsidR="00335F05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fabryczny protokół kalibracji </w:t>
      </w:r>
      <w:r w:rsidRPr="008336CB">
        <w:rPr>
          <w:rFonts w:asciiTheme="majorHAnsi" w:eastAsia="Calibri" w:hAnsiTheme="majorHAnsi" w:cs="Calibri"/>
          <w:bCs w:val="0"/>
          <w:color w:val="FF0000"/>
          <w:kern w:val="0"/>
          <w:sz w:val="22"/>
          <w:szCs w:val="22"/>
          <w:lang w:eastAsia="en-US"/>
        </w:rPr>
        <w:t xml:space="preserve"> </w:t>
      </w:r>
    </w:p>
    <w:p w14:paraId="6853DCA5" w14:textId="11C45332" w:rsidR="001D05E5" w:rsidRPr="00F93F4E" w:rsidRDefault="00335F05" w:rsidP="000F3FC6">
      <w:pPr>
        <w:numPr>
          <w:ilvl w:val="0"/>
          <w:numId w:val="79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Hermetyczna obudowa</w:t>
      </w:r>
    </w:p>
    <w:p w14:paraId="74448B04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</w:t>
      </w:r>
    </w:p>
    <w:p w14:paraId="049619EF" w14:textId="77777777" w:rsidR="001D05E5" w:rsidRPr="00F93F4E" w:rsidRDefault="001D05E5" w:rsidP="000F3FC6">
      <w:pPr>
        <w:numPr>
          <w:ilvl w:val="0"/>
          <w:numId w:val="74"/>
        </w:numPr>
        <w:spacing w:line="300" w:lineRule="auto"/>
        <w:contextualSpacing/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>Zestaw inklinometrów i czujników linkowych</w:t>
      </w:r>
    </w:p>
    <w:p w14:paraId="0D6D9482" w14:textId="77777777" w:rsidR="001D05E5" w:rsidRPr="00F93F4E" w:rsidRDefault="001D05E5" w:rsidP="000F3FC6">
      <w:pPr>
        <w:numPr>
          <w:ilvl w:val="0"/>
          <w:numId w:val="76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Komplet 4 inklinometrów: </w:t>
      </w:r>
    </w:p>
    <w:p w14:paraId="3FE6F8EC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Liczba osi pomiarowych: co najmniej 1 </w:t>
      </w:r>
    </w:p>
    <w:p w14:paraId="1AE84A55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±10° </w:t>
      </w:r>
    </w:p>
    <w:p w14:paraId="5C785520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Rozdzielczość (w punkcie zerowym): 0,01° </w:t>
      </w:r>
    </w:p>
    <w:p w14:paraId="0F6699F3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 xml:space="preserve">Tolerancja pomiaru kąta:  ± 0,15° </w:t>
      </w:r>
    </w:p>
    <w:p w14:paraId="6E2CB346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temp. pracy: −40°C do +80°C </w:t>
      </w:r>
    </w:p>
    <w:p w14:paraId="43E686E1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Współczynnik temperaturowy: ± 0,009°/K </w:t>
      </w:r>
    </w:p>
    <w:p w14:paraId="7DD148B7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Napięcie zasilania: 11 V 30 V DC </w:t>
      </w:r>
    </w:p>
    <w:p w14:paraId="60DF92A8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ABS </w:t>
      </w:r>
    </w:p>
    <w:p w14:paraId="7C0A32BC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Wymiary: 65 x 35 x 20 mm </w:t>
      </w:r>
    </w:p>
    <w:p w14:paraId="2E49523B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Masa: ok. 55 gram </w:t>
      </w:r>
    </w:p>
    <w:p w14:paraId="4DE465B1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Interfejs: napięciowy 0-10 V </w:t>
      </w:r>
    </w:p>
    <w:p w14:paraId="4E1E2359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elektryczne: zintegrowany przewód M12 </w:t>
      </w:r>
    </w:p>
    <w:p w14:paraId="753EE452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Stopień ochrony przy prawidłowym podłączeniu złącza: IP67 </w:t>
      </w:r>
    </w:p>
    <w:p w14:paraId="08CA1993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Przewód przedłużający zakończony złączami kompatybilnymi z analizatorem </w:t>
      </w:r>
    </w:p>
    <w:p w14:paraId="4C43D293" w14:textId="77777777" w:rsidR="001D05E5" w:rsidRPr="00F93F4E" w:rsidRDefault="001D05E5" w:rsidP="000F3FC6">
      <w:pPr>
        <w:numPr>
          <w:ilvl w:val="0"/>
          <w:numId w:val="80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Montaż: otwory przelotowe </w:t>
      </w:r>
    </w:p>
    <w:p w14:paraId="60F237C1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</w:t>
      </w:r>
    </w:p>
    <w:p w14:paraId="4751C599" w14:textId="77777777" w:rsidR="001D05E5" w:rsidRPr="00F93F4E" w:rsidRDefault="001D05E5" w:rsidP="000F3FC6">
      <w:pPr>
        <w:numPr>
          <w:ilvl w:val="0"/>
          <w:numId w:val="76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Komplet 6 inklinometrów: </w:t>
      </w:r>
    </w:p>
    <w:p w14:paraId="27165A4C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Liczba osi pomiarowych: co najmniej 1 </w:t>
      </w:r>
    </w:p>
    <w:p w14:paraId="1F92D5AD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±60° </w:t>
      </w:r>
    </w:p>
    <w:p w14:paraId="5F1C0CF0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Rozdzielczość (w punkcie zerowym): 0,06° </w:t>
      </w:r>
    </w:p>
    <w:p w14:paraId="52292AC7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Tolerancja pomiaru kąta:  ± 0,5° </w:t>
      </w:r>
    </w:p>
    <w:p w14:paraId="105AFB19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temp. pracy: −40°C do +80°C </w:t>
      </w:r>
    </w:p>
    <w:p w14:paraId="0D5FA9A7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Współczynnik temperaturowy: ± 0,009°/K </w:t>
      </w:r>
    </w:p>
    <w:p w14:paraId="29FC2EA8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Napięcie zasilania: 11 V 30 V DC </w:t>
      </w:r>
    </w:p>
    <w:p w14:paraId="4A96A558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ABS </w:t>
      </w:r>
    </w:p>
    <w:p w14:paraId="1051F14C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Wymiary: 65 x 35 x 20 mm </w:t>
      </w:r>
    </w:p>
    <w:p w14:paraId="32A2994C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Masa: ok. 55 gram </w:t>
      </w:r>
    </w:p>
    <w:p w14:paraId="22DFC44A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Interfejs: napięciowy 0-10 V </w:t>
      </w:r>
    </w:p>
    <w:p w14:paraId="7D7A0FE3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Złącze elektryczne: zintegrowany przewód M12 </w:t>
      </w:r>
    </w:p>
    <w:p w14:paraId="4EC082D5" w14:textId="77777777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Stopień ochrony przy prawidłowym podłączeniu złącza: IP67 </w:t>
      </w:r>
    </w:p>
    <w:p w14:paraId="7A3930BF" w14:textId="77777777" w:rsidR="00B62818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Przewód przedłużający zakończony złączami k</w:t>
      </w:r>
      <w:r w:rsidR="00B62818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ompatybilnymi z analizatorem</w:t>
      </w:r>
    </w:p>
    <w:p w14:paraId="4A67F986" w14:textId="096EC99D" w:rsidR="001D05E5" w:rsidRPr="00F93F4E" w:rsidRDefault="001D05E5" w:rsidP="000F3FC6">
      <w:pPr>
        <w:numPr>
          <w:ilvl w:val="0"/>
          <w:numId w:val="81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Montaż: otwory przelotowe </w:t>
      </w:r>
    </w:p>
    <w:p w14:paraId="11DC62D9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 </w:t>
      </w:r>
    </w:p>
    <w:p w14:paraId="4EC8D827" w14:textId="77777777" w:rsidR="001D05E5" w:rsidRPr="00F93F4E" w:rsidRDefault="001D05E5" w:rsidP="000F3FC6">
      <w:pPr>
        <w:numPr>
          <w:ilvl w:val="0"/>
          <w:numId w:val="76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Komplet 4 czujników linkowych : </w:t>
      </w:r>
    </w:p>
    <w:p w14:paraId="0A19284A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Potencjometryczny czujnik linkowy drogi </w:t>
      </w:r>
    </w:p>
    <w:p w14:paraId="022B4361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pomiarowy: 250 mm </w:t>
      </w:r>
    </w:p>
    <w:p w14:paraId="50C47EF5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Liniowość: ±0,1% </w:t>
      </w:r>
    </w:p>
    <w:p w14:paraId="1D4768FB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Zakres temp. pracy: −20°C do +80°C </w:t>
      </w:r>
    </w:p>
    <w:p w14:paraId="579325D8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obudowy: plastik </w:t>
      </w:r>
    </w:p>
    <w:p w14:paraId="431FC64E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Materiał i grubość linki: stal pokryta poliamidem, fi 0,36 mm </w:t>
      </w:r>
    </w:p>
    <w:p w14:paraId="35077B53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Zakończenie oczkiem montażowym </w:t>
      </w:r>
    </w:p>
    <w:p w14:paraId="7B12E296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Maksymalna siła wyciągania: około 2,5 N </w:t>
      </w:r>
    </w:p>
    <w:p w14:paraId="1E8B809E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Masa: ok. 45 gram </w:t>
      </w:r>
    </w:p>
    <w:p w14:paraId="68D1E511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Stopień ochrony: IP20 </w:t>
      </w:r>
    </w:p>
    <w:p w14:paraId="574DBBCE" w14:textId="77777777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Przyłącze: pola lutownicze </w:t>
      </w:r>
    </w:p>
    <w:p w14:paraId="247EF1AD" w14:textId="77777777" w:rsidR="00B62818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 xml:space="preserve">Przewód przyłączeniowy zakończony złączem </w:t>
      </w:r>
      <w:r w:rsidR="00B62818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kompatybilnym z analizatorem</w:t>
      </w:r>
    </w:p>
    <w:p w14:paraId="5C2AA6A0" w14:textId="2CC53495" w:rsidR="001D05E5" w:rsidRPr="00F93F4E" w:rsidRDefault="001D05E5" w:rsidP="000F3FC6">
      <w:pPr>
        <w:numPr>
          <w:ilvl w:val="0"/>
          <w:numId w:val="82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Montaż: poprzez otwory montażowe lub rowki montażowe </w:t>
      </w:r>
    </w:p>
    <w:p w14:paraId="6B472B54" w14:textId="7777777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 </w:t>
      </w:r>
    </w:p>
    <w:p w14:paraId="2456223D" w14:textId="77777777" w:rsidR="001D05E5" w:rsidRPr="00F93F4E" w:rsidRDefault="001D05E5" w:rsidP="000F3FC6">
      <w:pPr>
        <w:numPr>
          <w:ilvl w:val="0"/>
          <w:numId w:val="74"/>
        </w:numPr>
        <w:spacing w:line="300" w:lineRule="auto"/>
        <w:contextualSpacing/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Zestaw przetworników tensometrycznych  </w:t>
      </w:r>
    </w:p>
    <w:p w14:paraId="176C4738" w14:textId="77777777" w:rsidR="001D05E5" w:rsidRPr="00F93F4E" w:rsidRDefault="001D05E5" w:rsidP="000F3FC6">
      <w:pPr>
        <w:numPr>
          <w:ilvl w:val="0"/>
          <w:numId w:val="83"/>
        </w:numPr>
        <w:spacing w:line="300" w:lineRule="auto"/>
        <w:ind w:right="126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Belki tensometryczne o różnych konfiguracjach, zastosowanie dydaktyczne – co najmniej 8 sztuk Zestaw tensometrów o różnej konfiguracji do klejenia na powierzchniach betonowych oraz elementach stalowych wraz z akcesoriami do przygotowywania powierzchni i klejenia oraz zabezpieczania. Co najmniej 50 sztuk tensometrów. </w:t>
      </w:r>
    </w:p>
    <w:p w14:paraId="2FF4E6A4" w14:textId="77777777" w:rsidR="001D05E5" w:rsidRPr="00F93F4E" w:rsidRDefault="001D05E5" w:rsidP="000F3FC6">
      <w:pPr>
        <w:numPr>
          <w:ilvl w:val="0"/>
          <w:numId w:val="83"/>
        </w:numPr>
        <w:spacing w:line="300" w:lineRule="auto"/>
        <w:ind w:right="126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W skład zestawu wchodzą co najmniej:  </w:t>
      </w:r>
    </w:p>
    <w:p w14:paraId="6140FD5D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kleje,  </w:t>
      </w:r>
    </w:p>
    <w:p w14:paraId="1544C62F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zmywacze,  </w:t>
      </w:r>
    </w:p>
    <w:p w14:paraId="0A73B40C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folie teflonowe,  </w:t>
      </w:r>
    </w:p>
    <w:p w14:paraId="13CEE1F7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taśmy,  </w:t>
      </w:r>
    </w:p>
    <w:p w14:paraId="02BF7DA7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listwy lutownicze,  </w:t>
      </w:r>
    </w:p>
    <w:p w14:paraId="074416A2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stacja lutownicza,  </w:t>
      </w:r>
    </w:p>
    <w:p w14:paraId="5A2509B6" w14:textId="77777777" w:rsidR="001D05E5" w:rsidRPr="00F93F4E" w:rsidRDefault="001D05E5" w:rsidP="000F3FC6">
      <w:pPr>
        <w:numPr>
          <w:ilvl w:val="0"/>
          <w:numId w:val="84"/>
        </w:numPr>
        <w:spacing w:line="300" w:lineRule="auto"/>
        <w:ind w:left="1134" w:hanging="35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drut lutowniczy </w:t>
      </w:r>
    </w:p>
    <w:p w14:paraId="59F2792D" w14:textId="61E33A27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461F9DBF" w14:textId="77777777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Akcesoria </w:t>
      </w:r>
    </w:p>
    <w:p w14:paraId="45F37F87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Przewody pozwalające na łączenie modułów między sobą, przewody łączące moduły z pozostałymi elementami systemu w tym z sensorami </w:t>
      </w:r>
    </w:p>
    <w:p w14:paraId="29704166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Walizka transportowa </w:t>
      </w:r>
    </w:p>
    <w:p w14:paraId="5289BA59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Zasilacz </w:t>
      </w:r>
    </w:p>
    <w:p w14:paraId="08BECF70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Anteny GNSS, anteny WI-FI </w:t>
      </w:r>
    </w:p>
    <w:p w14:paraId="1B28ACC5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Zaślepki ochronne na konektory  </w:t>
      </w:r>
    </w:p>
    <w:p w14:paraId="0278B412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Akcesoria umożliwiające montaż w skrzyni do zabudowy </w:t>
      </w:r>
    </w:p>
    <w:p w14:paraId="6BA0DA59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Router sieciowy </w:t>
      </w:r>
    </w:p>
    <w:p w14:paraId="14E570F0" w14:textId="77777777" w:rsidR="001D05E5" w:rsidRPr="00F93F4E" w:rsidRDefault="001D05E5" w:rsidP="000F3FC6">
      <w:pPr>
        <w:numPr>
          <w:ilvl w:val="1"/>
          <w:numId w:val="85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Moduł umożliwiający komunikację zdalną (LTE), współpracujący z analizatorem  </w:t>
      </w:r>
    </w:p>
    <w:p w14:paraId="412A6142" w14:textId="77777777" w:rsidR="001D05E5" w:rsidRPr="00F93F4E" w:rsidRDefault="001D05E5" w:rsidP="000F3FC6">
      <w:pPr>
        <w:numPr>
          <w:ilvl w:val="0"/>
          <w:numId w:val="85"/>
        </w:numPr>
        <w:spacing w:line="300" w:lineRule="auto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Skrzynia do zabudowy (transportu) elementów systemu  </w:t>
      </w:r>
    </w:p>
    <w:p w14:paraId="11E1F20D" w14:textId="77777777" w:rsidR="001D05E5" w:rsidRPr="00F93F4E" w:rsidRDefault="001D05E5" w:rsidP="000F3FC6">
      <w:pPr>
        <w:numPr>
          <w:ilvl w:val="1"/>
          <w:numId w:val="85"/>
        </w:numPr>
        <w:spacing w:line="300" w:lineRule="auto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Kompatybilna z systemem pomiarowym lekka skrzynia do transportu lub zabudowy elementów systemu. </w:t>
      </w:r>
    </w:p>
    <w:p w14:paraId="240FA4BB" w14:textId="14F0D02C" w:rsidR="001D05E5" w:rsidRPr="00F93F4E" w:rsidRDefault="001D05E5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072F62C5" w14:textId="77777777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Jednostki do Rejestracji i analizy </w:t>
      </w:r>
    </w:p>
    <w:p w14:paraId="3FECC1F5" w14:textId="77777777" w:rsidR="001D05E5" w:rsidRPr="00F93F4E" w:rsidRDefault="001D05E5" w:rsidP="000F3FC6">
      <w:pPr>
        <w:numPr>
          <w:ilvl w:val="0"/>
          <w:numId w:val="61"/>
        </w:numPr>
        <w:spacing w:line="300" w:lineRule="auto"/>
        <w:ind w:left="284"/>
        <w:jc w:val="both"/>
        <w:rPr>
          <w:rFonts w:asciiTheme="majorHAnsi" w:eastAsia="Calibri" w:hAnsiTheme="majorHAnsi"/>
          <w:kern w:val="0"/>
          <w:sz w:val="22"/>
          <w:szCs w:val="22"/>
        </w:rPr>
      </w:pPr>
      <w:r w:rsidRPr="00F93F4E">
        <w:rPr>
          <w:rFonts w:asciiTheme="majorHAnsi" w:eastAsia="Calibri" w:hAnsiTheme="majorHAnsi"/>
          <w:kern w:val="0"/>
          <w:sz w:val="22"/>
          <w:szCs w:val="22"/>
        </w:rPr>
        <w:t xml:space="preserve">Komputer pomiarowy do pomiarów w terenie, w trudnych warunkach środowiskowych </w:t>
      </w:r>
      <w:r w:rsidRPr="00F93F4E">
        <w:rPr>
          <w:rFonts w:asciiTheme="majorHAnsi" w:eastAsia="Calibri" w:hAnsiTheme="majorHAnsi"/>
          <w:bCs w:val="0"/>
          <w:kern w:val="0"/>
          <w:sz w:val="22"/>
          <w:szCs w:val="22"/>
        </w:rPr>
        <w:t>o co najmniej poniższych parametrach technicznych:</w:t>
      </w:r>
    </w:p>
    <w:p w14:paraId="78D9BC27" w14:textId="77777777" w:rsidR="001D05E5" w:rsidRPr="00F93F4E" w:rsidRDefault="001D05E5" w:rsidP="001D05E5">
      <w:pPr>
        <w:spacing w:line="300" w:lineRule="auto"/>
        <w:ind w:left="705"/>
        <w:jc w:val="both"/>
        <w:rPr>
          <w:rFonts w:asciiTheme="majorHAnsi" w:eastAsia="Calibri" w:hAnsiTheme="majorHAnsi"/>
          <w:kern w:val="0"/>
          <w:sz w:val="22"/>
          <w:szCs w:val="22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4"/>
        <w:gridCol w:w="1588"/>
        <w:gridCol w:w="7174"/>
      </w:tblGrid>
      <w:tr w:rsidR="00F93F4E" w:rsidRPr="00F93F4E" w14:paraId="22F4C14F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1070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MS Outlook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MS Outlook" w:hAnsiTheme="majorHAnsi"/>
                <w:b/>
                <w:bCs w:val="0"/>
                <w:kern w:val="0"/>
                <w:sz w:val="22"/>
                <w:szCs w:val="22"/>
              </w:rPr>
              <w:t>Lp.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4A9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>Nazwa</w:t>
            </w:r>
          </w:p>
          <w:p w14:paraId="2139176C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>komponentu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D6A" w14:textId="77777777" w:rsidR="001D05E5" w:rsidRPr="00F93F4E" w:rsidRDefault="001D05E5" w:rsidP="001D05E5">
            <w:pPr>
              <w:spacing w:line="300" w:lineRule="auto"/>
              <w:ind w:left="-71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Wymagane minimalne parametry techniczne </w:t>
            </w:r>
          </w:p>
        </w:tc>
      </w:tr>
      <w:tr w:rsidR="00F93F4E" w:rsidRPr="00F93F4E" w14:paraId="05DBEE68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B736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F58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Procesor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CCE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Zaoferowany procesor musi uzyskiwać w teście PassMark CPU Mark wynik co najmniej </w:t>
            </w: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9 500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pkt</w:t>
            </w: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. Wynik zaoferowanego procesora musi znajdować się na stronie internetowej: </w:t>
            </w:r>
            <w:hyperlink r:id="rId8" w:history="1">
              <w:r w:rsidRPr="00F93F4E">
                <w:rPr>
                  <w:rFonts w:asciiTheme="majorHAnsi" w:eastAsia="Calibri" w:hAnsiTheme="majorHAnsi"/>
                  <w:bCs w:val="0"/>
                  <w:kern w:val="0"/>
                  <w:sz w:val="22"/>
                  <w:szCs w:val="22"/>
                  <w:u w:val="single"/>
                </w:rPr>
                <w:t>https://www.cpubenchmark.net/high_end_cpus.html</w:t>
              </w:r>
            </w:hyperlink>
          </w:p>
          <w:p w14:paraId="6DF5B2DE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i/>
                <w:kern w:val="0"/>
                <w:sz w:val="22"/>
                <w:szCs w:val="22"/>
                <w:u w:val="single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Wynik testu zaoferowanego procesora nie może być starszy niż data ogłoszenia postępowania.</w:t>
            </w:r>
          </w:p>
        </w:tc>
      </w:tr>
      <w:tr w:rsidR="00F93F4E" w:rsidRPr="00F93F4E" w14:paraId="79C348A9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B3B7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6C91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Pamięć RAM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BE88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Zainstalowana pamięć operacyjna RAM co najmniej o pojemności 16 GB</w:t>
            </w:r>
          </w:p>
        </w:tc>
      </w:tr>
      <w:tr w:rsidR="00F93F4E" w:rsidRPr="00F93F4E" w14:paraId="45D69F8D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2C1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D97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Dysk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DC6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Wbudowany wewnętrzny 1 x SSD, PCIe o pojemności co najmniej 512 GB. </w:t>
            </w:r>
          </w:p>
        </w:tc>
      </w:tr>
      <w:tr w:rsidR="00F93F4E" w:rsidRPr="00F93F4E" w14:paraId="2C482C3C" w14:textId="77777777" w:rsidTr="001D05E5">
        <w:trPr>
          <w:trHeight w:val="56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3D045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BE0E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Karta </w:t>
            </w:r>
          </w:p>
          <w:p w14:paraId="1E0D1ADF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graficzna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C932F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Zaoferowana karta graficzna musi uzyskiwać w teście PassMark G3D Mark wynik co najmniej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2 500</w:t>
            </w: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pkt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. Wynik zaoferowanego układu graficznego musi znajdować się na stronie internetowej: </w:t>
            </w:r>
            <w:hyperlink r:id="rId9" w:history="1">
              <w:r w:rsidRPr="00F93F4E">
                <w:rPr>
                  <w:rFonts w:asciiTheme="majorHAnsi" w:eastAsia="Calibri" w:hAnsiTheme="majorHAnsi"/>
                  <w:i/>
                  <w:kern w:val="0"/>
                  <w:sz w:val="22"/>
                  <w:szCs w:val="22"/>
                  <w:u w:val="single"/>
                </w:rPr>
                <w:t>http://www.videocardbenchmark.net/high_end_gpus.html</w:t>
              </w:r>
            </w:hyperlink>
            <w:r w:rsidRPr="00F93F4E">
              <w:rPr>
                <w:rFonts w:asciiTheme="majorHAnsi" w:eastAsia="Calibri" w:hAnsiTheme="majorHAnsi"/>
                <w:i/>
                <w:kern w:val="0"/>
                <w:sz w:val="22"/>
                <w:szCs w:val="22"/>
                <w:u w:val="single"/>
              </w:rPr>
              <w:t xml:space="preserve"> </w:t>
            </w:r>
          </w:p>
          <w:p w14:paraId="7E37586C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Wynik testu zaoferowanej karty graficznej nie może być starszy niż data ogłoszenia postępowania.</w:t>
            </w:r>
          </w:p>
        </w:tc>
      </w:tr>
      <w:tr w:rsidR="00F93F4E" w:rsidRPr="00F93F4E" w14:paraId="209CB8F5" w14:textId="77777777" w:rsidTr="001D05E5">
        <w:trPr>
          <w:trHeight w:val="56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5BD28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68CB0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Matryca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FF7A9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Co najmniej 14’’ FHD 1920x1080</w:t>
            </w:r>
          </w:p>
        </w:tc>
      </w:tr>
      <w:tr w:rsidR="00F93F4E" w:rsidRPr="00F93F4E" w14:paraId="50EB31D8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4913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2EF9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Porty i złącza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4D4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Co najmniej: karta sieciowa Ethernet, USB, RS 232</w:t>
            </w:r>
          </w:p>
        </w:tc>
      </w:tr>
      <w:tr w:rsidR="00F93F4E" w:rsidRPr="00F93F4E" w14:paraId="657139DB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A96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4A4" w14:textId="77777777" w:rsidR="001D05E5" w:rsidRPr="00F93F4E" w:rsidRDefault="001D05E5" w:rsidP="001D05E5">
            <w:pPr>
              <w:spacing w:line="300" w:lineRule="auto"/>
              <w:ind w:left="10" w:hanging="10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Obudowa i pozostałe wymagania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3DA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Komputer o odporności na pył i wodę co najmniej IP53</w:t>
            </w:r>
          </w:p>
          <w:p w14:paraId="488D07CE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Bateria i ładowarka</w:t>
            </w:r>
          </w:p>
        </w:tc>
      </w:tr>
      <w:tr w:rsidR="00F93F4E" w:rsidRPr="00F93F4E" w14:paraId="460A18F8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676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908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System operacyjny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B6C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71" w:hanging="71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Zainstalowany na sprzęcie system operacyjny w języku polskim 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br/>
              <w:t>MS Windows 10/11 PRO PL w wersji 64-bit lub „równoważny” pozwalający na.</w:t>
            </w:r>
          </w:p>
          <w:p w14:paraId="23D8F49A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71" w:hanging="71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- uruchomienie aplikacji 64-bitowych;</w:t>
            </w:r>
          </w:p>
          <w:p w14:paraId="552C6B6C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10" w:hanging="10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- pracę w domenie MS Windows;</w:t>
            </w:r>
          </w:p>
          <w:p w14:paraId="2421F6E9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Zamawiający wymaga, aby system operacyjny został dostarczony wraz z licencją pozwalającą na użytkowanie oprogramowania.</w:t>
            </w:r>
          </w:p>
        </w:tc>
      </w:tr>
      <w:tr w:rsidR="00F93F4E" w:rsidRPr="00F93F4E" w14:paraId="462F8212" w14:textId="77777777" w:rsidTr="001D05E5">
        <w:trPr>
          <w:trHeight w:val="77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126" w14:textId="77777777" w:rsidR="001D05E5" w:rsidRPr="00F93F4E" w:rsidRDefault="001D05E5" w:rsidP="000F3FC6">
            <w:pPr>
              <w:numPr>
                <w:ilvl w:val="0"/>
                <w:numId w:val="89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41F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Warunki gwarancji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E45" w14:textId="36F073BE" w:rsidR="001D05E5" w:rsidRPr="00F93F4E" w:rsidRDefault="001D05E5" w:rsidP="00322AED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W okresie co najmniej </w:t>
            </w:r>
            <w:r w:rsidR="00322AED"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12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 miesięcy od daty potwierdzenia należytego wykonania zamówienia. W przypadku wymiany gwarancyjnej sprzętu uszkodzone dyski pozostają u klienta</w:t>
            </w:r>
          </w:p>
        </w:tc>
      </w:tr>
    </w:tbl>
    <w:p w14:paraId="279DC0AF" w14:textId="77777777" w:rsidR="001D05E5" w:rsidRPr="00F93F4E" w:rsidRDefault="001D05E5" w:rsidP="001D05E5">
      <w:pPr>
        <w:spacing w:line="300" w:lineRule="auto"/>
        <w:ind w:left="705"/>
        <w:jc w:val="both"/>
        <w:rPr>
          <w:rFonts w:asciiTheme="majorHAnsi" w:eastAsia="Calibri" w:hAnsiTheme="majorHAnsi"/>
          <w:kern w:val="0"/>
          <w:sz w:val="22"/>
          <w:szCs w:val="22"/>
        </w:rPr>
      </w:pPr>
    </w:p>
    <w:p w14:paraId="69F5D2BD" w14:textId="77777777" w:rsidR="001D05E5" w:rsidRPr="00F93F4E" w:rsidRDefault="001D05E5" w:rsidP="000F3FC6">
      <w:pPr>
        <w:numPr>
          <w:ilvl w:val="0"/>
          <w:numId w:val="61"/>
        </w:numPr>
        <w:spacing w:line="300" w:lineRule="auto"/>
        <w:ind w:left="426"/>
        <w:contextualSpacing/>
        <w:jc w:val="both"/>
        <w:rPr>
          <w:rFonts w:asciiTheme="majorHAnsi" w:eastAsia="Calibri" w:hAnsiTheme="majorHAnsi"/>
          <w:kern w:val="0"/>
          <w:sz w:val="22"/>
          <w:szCs w:val="22"/>
        </w:rPr>
      </w:pPr>
      <w:r w:rsidRPr="00F93F4E">
        <w:rPr>
          <w:rFonts w:asciiTheme="majorHAnsi" w:eastAsia="Calibri" w:hAnsiTheme="majorHAnsi"/>
          <w:kern w:val="0"/>
          <w:sz w:val="22"/>
          <w:szCs w:val="22"/>
        </w:rPr>
        <w:t xml:space="preserve">Komputer pomiarowy do pomiarów w laboratorium </w:t>
      </w:r>
      <w:r w:rsidRPr="00F93F4E">
        <w:rPr>
          <w:rFonts w:asciiTheme="majorHAnsi" w:eastAsia="Calibri" w:hAnsiTheme="majorHAnsi"/>
          <w:bCs w:val="0"/>
          <w:kern w:val="0"/>
          <w:sz w:val="22"/>
          <w:szCs w:val="22"/>
        </w:rPr>
        <w:t>o co najmniej poniższych parametrach technicznych:</w:t>
      </w:r>
    </w:p>
    <w:p w14:paraId="16A27C59" w14:textId="77777777" w:rsidR="001D05E5" w:rsidRPr="00F93F4E" w:rsidRDefault="001D05E5" w:rsidP="001D05E5">
      <w:pPr>
        <w:spacing w:line="300" w:lineRule="auto"/>
        <w:ind w:left="695"/>
        <w:jc w:val="both"/>
        <w:rPr>
          <w:rFonts w:asciiTheme="majorHAnsi" w:eastAsia="Calibri" w:hAnsiTheme="majorHAnsi"/>
          <w:kern w:val="0"/>
          <w:sz w:val="22"/>
          <w:szCs w:val="22"/>
        </w:rPr>
      </w:pP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4"/>
        <w:gridCol w:w="1588"/>
        <w:gridCol w:w="7174"/>
      </w:tblGrid>
      <w:tr w:rsidR="00F93F4E" w:rsidRPr="00F93F4E" w14:paraId="29387619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415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MS Outlook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MS Outlook" w:hAnsiTheme="majorHAnsi"/>
                <w:b/>
                <w:bCs w:val="0"/>
                <w:kern w:val="0"/>
                <w:sz w:val="22"/>
                <w:szCs w:val="22"/>
              </w:rPr>
              <w:t>Lp.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AD9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>Nazwa</w:t>
            </w:r>
          </w:p>
          <w:p w14:paraId="60ADFBFD" w14:textId="77777777" w:rsidR="001D05E5" w:rsidRPr="00F93F4E" w:rsidRDefault="001D05E5" w:rsidP="001D05E5">
            <w:pPr>
              <w:spacing w:line="300" w:lineRule="auto"/>
              <w:ind w:left="10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>komponentu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BDB" w14:textId="77777777" w:rsidR="001D05E5" w:rsidRPr="00F93F4E" w:rsidRDefault="001D05E5" w:rsidP="001D05E5">
            <w:pPr>
              <w:spacing w:line="300" w:lineRule="auto"/>
              <w:ind w:left="-71" w:hanging="10"/>
              <w:jc w:val="center"/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Wymagane minimalne parametry techniczne </w:t>
            </w:r>
          </w:p>
        </w:tc>
      </w:tr>
      <w:tr w:rsidR="00F93F4E" w:rsidRPr="00F93F4E" w14:paraId="62BF7A80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6FE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D46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Procesor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223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Zaoferowany procesor musi uzyskiwać w teście PassMark CPU Mark wynik co najmniej </w:t>
            </w: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9 500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pkt</w:t>
            </w: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. Wynik zaoferowanego procesora musi znajdować się na stronie internetowej: </w:t>
            </w:r>
            <w:hyperlink r:id="rId10" w:history="1">
              <w:r w:rsidRPr="00F93F4E">
                <w:rPr>
                  <w:rFonts w:asciiTheme="majorHAnsi" w:eastAsia="Calibri" w:hAnsiTheme="majorHAnsi"/>
                  <w:bCs w:val="0"/>
                  <w:kern w:val="0"/>
                  <w:sz w:val="22"/>
                  <w:szCs w:val="22"/>
                  <w:u w:val="single"/>
                </w:rPr>
                <w:t>https://www.cpubenchmark.net/high_end_cpus.html</w:t>
              </w:r>
            </w:hyperlink>
          </w:p>
          <w:p w14:paraId="115E1E5C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i/>
                <w:kern w:val="0"/>
                <w:sz w:val="22"/>
                <w:szCs w:val="22"/>
                <w:u w:val="single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Wynik testu zaoferowanego procesora nie może być starszy niż data ogłoszenia postępowania.</w:t>
            </w:r>
          </w:p>
        </w:tc>
      </w:tr>
      <w:tr w:rsidR="00F93F4E" w:rsidRPr="00F93F4E" w14:paraId="470797B4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A7D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D05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Pamięć RAM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9F7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Zainstalowana pamięć operacyjna RAM co najmniej o pojemności 32 GB</w:t>
            </w:r>
          </w:p>
        </w:tc>
      </w:tr>
      <w:tr w:rsidR="00F93F4E" w:rsidRPr="00F93F4E" w14:paraId="3A1EC977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F78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15C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Dysk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B0D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Wbudowany wewnętrzny 1 x SSD, PCIe o pojemności co najmniej 512 GB. </w:t>
            </w:r>
          </w:p>
        </w:tc>
      </w:tr>
      <w:tr w:rsidR="00F93F4E" w:rsidRPr="00F93F4E" w14:paraId="69C4E522" w14:textId="77777777" w:rsidTr="001D05E5">
        <w:trPr>
          <w:trHeight w:val="56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A89B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1BFF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 xml:space="preserve">Karta </w:t>
            </w:r>
          </w:p>
          <w:p w14:paraId="3326EFBC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graficzna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E0ED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Zaoferowana karta graficzna musi uzyskiwać w teście PassMark G3D Mark wynik co najmniej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3 500</w:t>
            </w:r>
            <w:r w:rsidRPr="00F93F4E">
              <w:rPr>
                <w:rFonts w:asciiTheme="majorHAnsi" w:eastAsia="Calibri" w:hAnsiTheme="majorHAnsi"/>
                <w:b/>
                <w:bCs w:val="0"/>
                <w:kern w:val="0"/>
                <w:sz w:val="22"/>
                <w:szCs w:val="22"/>
              </w:rPr>
              <w:t xml:space="preserve"> </w:t>
            </w:r>
            <w:r w:rsidRPr="00F93F4E">
              <w:rPr>
                <w:rFonts w:asciiTheme="majorHAnsi" w:eastAsia="Calibri" w:hAnsiTheme="majorHAnsi"/>
                <w:b/>
                <w:kern w:val="0"/>
                <w:sz w:val="22"/>
                <w:szCs w:val="22"/>
              </w:rPr>
              <w:t>pkt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. Wynik zaoferowanego układu graficznego musi znajdować się na stronie internetowej: </w:t>
            </w:r>
            <w:hyperlink r:id="rId11" w:history="1">
              <w:r w:rsidRPr="00F93F4E">
                <w:rPr>
                  <w:rFonts w:asciiTheme="majorHAnsi" w:eastAsia="Calibri" w:hAnsiTheme="majorHAnsi"/>
                  <w:i/>
                  <w:kern w:val="0"/>
                  <w:sz w:val="22"/>
                  <w:szCs w:val="22"/>
                  <w:u w:val="single"/>
                </w:rPr>
                <w:t>http://www.videocardbenchmark.net/high_end_gpus.html</w:t>
              </w:r>
            </w:hyperlink>
            <w:r w:rsidRPr="00F93F4E">
              <w:rPr>
                <w:rFonts w:asciiTheme="majorHAnsi" w:eastAsia="Calibri" w:hAnsiTheme="majorHAnsi"/>
                <w:i/>
                <w:kern w:val="0"/>
                <w:sz w:val="22"/>
                <w:szCs w:val="22"/>
                <w:u w:val="single"/>
              </w:rPr>
              <w:t xml:space="preserve"> </w:t>
            </w:r>
          </w:p>
          <w:p w14:paraId="4A0CD7F0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Wynik testu zaoferowanej karty graficznej nie może być starszy niż data ogłoszenia postępowania.</w:t>
            </w:r>
          </w:p>
        </w:tc>
      </w:tr>
      <w:tr w:rsidR="00F93F4E" w:rsidRPr="00F93F4E" w14:paraId="7FA26B76" w14:textId="77777777" w:rsidTr="001D05E5">
        <w:trPr>
          <w:trHeight w:val="56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7261D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DFB6D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Matryca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7D14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Co najmniej 15’’ FHD 1920x1080</w:t>
            </w:r>
          </w:p>
        </w:tc>
      </w:tr>
      <w:tr w:rsidR="00F93F4E" w:rsidRPr="00F93F4E" w14:paraId="31A841AC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02C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6A9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Porty i złącza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7D0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Co najmniej: karta sieciowa Ethernet, USB</w:t>
            </w:r>
          </w:p>
        </w:tc>
      </w:tr>
      <w:tr w:rsidR="00F93F4E" w:rsidRPr="00F93F4E" w14:paraId="36F5BB9F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7AC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B033" w14:textId="77777777" w:rsidR="001D05E5" w:rsidRPr="00F93F4E" w:rsidRDefault="001D05E5" w:rsidP="001D05E5">
            <w:pPr>
              <w:spacing w:line="300" w:lineRule="auto"/>
              <w:ind w:left="10" w:hanging="10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Obudowa i pozostałe wymagania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FA3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Bateria i ładowarka</w:t>
            </w:r>
          </w:p>
        </w:tc>
      </w:tr>
      <w:tr w:rsidR="00F93F4E" w:rsidRPr="00F93F4E" w14:paraId="66475553" w14:textId="77777777" w:rsidTr="001D05E5">
        <w:trPr>
          <w:trHeight w:val="28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2D3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6E3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System operacyjny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8B7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71" w:hanging="71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Zainstalowany na sprzęcie system operacyjny w języku polskim 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br/>
              <w:t>MS Windows 10/11 PRO PL w wersji 64-bit lub „równoważny” pozwalający na.</w:t>
            </w:r>
          </w:p>
          <w:p w14:paraId="020B9B71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71" w:hanging="71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- uruchomienie aplikacji 64-bitowych;</w:t>
            </w:r>
          </w:p>
          <w:p w14:paraId="1256FD8E" w14:textId="77777777" w:rsidR="001D05E5" w:rsidRPr="00F93F4E" w:rsidRDefault="001D05E5" w:rsidP="001D05E5">
            <w:pPr>
              <w:suppressAutoHyphens/>
              <w:overflowPunct w:val="0"/>
              <w:autoSpaceDE w:val="0"/>
              <w:spacing w:line="300" w:lineRule="auto"/>
              <w:ind w:left="10" w:hanging="10"/>
              <w:jc w:val="both"/>
              <w:textAlignment w:val="baseline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- pracę w domenie MS Windows;</w:t>
            </w:r>
          </w:p>
          <w:p w14:paraId="2E49F4F6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Zamawiający wymaga, aby system operacyjny został dostarczony wraz z licencją pozwalającą na użytkowanie oprogramowania.</w:t>
            </w:r>
          </w:p>
        </w:tc>
      </w:tr>
      <w:tr w:rsidR="00F93F4E" w:rsidRPr="00F93F4E" w14:paraId="0FF2D88F" w14:textId="77777777" w:rsidTr="001D05E5">
        <w:trPr>
          <w:trHeight w:val="77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C14" w14:textId="77777777" w:rsidR="001D05E5" w:rsidRPr="00F93F4E" w:rsidRDefault="001D05E5" w:rsidP="000F3FC6">
            <w:pPr>
              <w:numPr>
                <w:ilvl w:val="0"/>
                <w:numId w:val="90"/>
              </w:numPr>
              <w:spacing w:line="300" w:lineRule="auto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D209" w14:textId="77777777" w:rsidR="001D05E5" w:rsidRPr="00F93F4E" w:rsidRDefault="001D05E5" w:rsidP="001D05E5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kern w:val="0"/>
                <w:sz w:val="22"/>
                <w:szCs w:val="22"/>
              </w:rPr>
              <w:t>Warunki gwarancji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3C8" w14:textId="4C110DA3" w:rsidR="001D05E5" w:rsidRPr="00F93F4E" w:rsidRDefault="001D05E5" w:rsidP="00322AED">
            <w:pPr>
              <w:spacing w:line="300" w:lineRule="auto"/>
              <w:ind w:left="10" w:hanging="10"/>
              <w:jc w:val="both"/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</w:pP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W okresie co najmniej </w:t>
            </w:r>
            <w:r w:rsidR="00322AED"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>12</w:t>
            </w:r>
            <w:r w:rsidRPr="00F93F4E">
              <w:rPr>
                <w:rFonts w:asciiTheme="majorHAnsi" w:eastAsia="Calibri" w:hAnsiTheme="majorHAnsi"/>
                <w:bCs w:val="0"/>
                <w:kern w:val="0"/>
                <w:sz w:val="22"/>
                <w:szCs w:val="22"/>
              </w:rPr>
              <w:t xml:space="preserve"> miesięcy od daty potwierdzenia należytego wykonania zamówienia. W przypadku wymiany gwarancyjnej sprzętu uszkodzone dyski pozostają u klienta</w:t>
            </w:r>
          </w:p>
        </w:tc>
      </w:tr>
    </w:tbl>
    <w:p w14:paraId="726AA4D0" w14:textId="77777777" w:rsidR="001D05E5" w:rsidRPr="00F93F4E" w:rsidRDefault="001D05E5" w:rsidP="001D05E5">
      <w:pPr>
        <w:spacing w:line="300" w:lineRule="auto"/>
        <w:jc w:val="both"/>
        <w:rPr>
          <w:rFonts w:asciiTheme="majorHAnsi" w:eastAsia="Calibri" w:hAnsiTheme="majorHAnsi"/>
          <w:bCs w:val="0"/>
          <w:kern w:val="0"/>
          <w:sz w:val="22"/>
          <w:szCs w:val="22"/>
        </w:rPr>
      </w:pPr>
    </w:p>
    <w:p w14:paraId="0041A89E" w14:textId="77777777" w:rsidR="001D05E5" w:rsidRPr="00F93F4E" w:rsidRDefault="001D05E5" w:rsidP="001D05E5">
      <w:pPr>
        <w:spacing w:line="300" w:lineRule="auto"/>
        <w:ind w:left="34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71EE5BFC" w14:textId="6F1CC851" w:rsidR="001D05E5" w:rsidRPr="00F93F4E" w:rsidRDefault="001D05E5" w:rsidP="000814DD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Instruktaż stanowiskowy z obsługi </w:t>
      </w:r>
      <w:r w:rsidR="00DE7C15"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>Aparatury</w:t>
      </w:r>
      <w:r w:rsidRPr="00F93F4E">
        <w:rPr>
          <w:rFonts w:asciiTheme="majorHAnsi" w:eastAsia="Calibri" w:hAnsiTheme="majorHAnsi" w:cs="Calibri"/>
          <w:b/>
          <w:bCs w:val="0"/>
          <w:kern w:val="0"/>
          <w:sz w:val="22"/>
          <w:szCs w:val="22"/>
          <w:lang w:eastAsia="en-US"/>
        </w:rPr>
        <w:t xml:space="preserve"> i oprogramowania </w:t>
      </w:r>
    </w:p>
    <w:p w14:paraId="54DC0FBC" w14:textId="07F7E66F" w:rsidR="00E351A3" w:rsidRPr="00F93F4E" w:rsidRDefault="001D05E5" w:rsidP="004D7F07">
      <w:pPr>
        <w:pStyle w:val="Akapitzlist"/>
        <w:numPr>
          <w:ilvl w:val="0"/>
          <w:numId w:val="86"/>
        </w:numPr>
        <w:tabs>
          <w:tab w:val="left" w:pos="284"/>
        </w:tabs>
        <w:spacing w:line="300" w:lineRule="auto"/>
        <w:ind w:left="0"/>
        <w:rPr>
          <w:rFonts w:asciiTheme="majorHAnsi" w:hAnsiTheme="majorHAnsi" w:cs="Calibri"/>
        </w:rPr>
      </w:pPr>
      <w:r w:rsidRPr="00F93F4E">
        <w:rPr>
          <w:rFonts w:asciiTheme="majorHAnsi" w:hAnsiTheme="majorHAnsi" w:cs="Calibri"/>
        </w:rPr>
        <w:t xml:space="preserve">Instruktaż będzie prowadzony przez specjalistów w zakresie sprzedaży lub użytkowania </w:t>
      </w:r>
      <w:r w:rsidR="00322AED" w:rsidRPr="00F93F4E">
        <w:rPr>
          <w:rFonts w:asciiTheme="majorHAnsi" w:hAnsiTheme="majorHAnsi" w:cs="Calibri"/>
        </w:rPr>
        <w:t>A</w:t>
      </w:r>
      <w:r w:rsidRPr="00F93F4E">
        <w:rPr>
          <w:rFonts w:asciiTheme="majorHAnsi" w:hAnsiTheme="majorHAnsi" w:cs="Calibri"/>
        </w:rPr>
        <w:t xml:space="preserve">paratury do pomiarów tensometrycznych , dla co najmniej 5 osób, na miejscu u klienta </w:t>
      </w:r>
    </w:p>
    <w:p w14:paraId="55432DF1" w14:textId="70D17355" w:rsidR="001D05E5" w:rsidRPr="00F93F4E" w:rsidRDefault="001D05E5" w:rsidP="004D7F07">
      <w:pPr>
        <w:numPr>
          <w:ilvl w:val="0"/>
          <w:numId w:val="86"/>
        </w:numPr>
        <w:tabs>
          <w:tab w:val="left" w:pos="284"/>
        </w:tabs>
        <w:spacing w:line="300" w:lineRule="auto"/>
        <w:ind w:left="0"/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Instruktaż stanowiskowy z obsługi </w:t>
      </w:r>
      <w:r w:rsidR="00322AED"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>Aparatury</w:t>
      </w:r>
      <w:r w:rsidRPr="00F93F4E">
        <w:rPr>
          <w:rFonts w:asciiTheme="majorHAnsi" w:eastAsia="Calibri" w:hAnsiTheme="majorHAnsi" w:cs="Calibri"/>
          <w:kern w:val="0"/>
          <w:sz w:val="22"/>
          <w:szCs w:val="22"/>
          <w:lang w:eastAsia="en-US"/>
        </w:rPr>
        <w:t xml:space="preserve"> oraz oprogramowania wraz ze wstępem teoretycznym </w:t>
      </w:r>
    </w:p>
    <w:p w14:paraId="0D464C46" w14:textId="441EF2FC" w:rsidR="001D05E5" w:rsidRPr="00F93F4E" w:rsidRDefault="00D7235D" w:rsidP="004D7F07">
      <w:pPr>
        <w:pStyle w:val="Akapitzlist"/>
        <w:numPr>
          <w:ilvl w:val="1"/>
          <w:numId w:val="91"/>
        </w:numPr>
        <w:spacing w:line="300" w:lineRule="auto"/>
        <w:ind w:left="709"/>
        <w:rPr>
          <w:rFonts w:asciiTheme="majorHAnsi" w:hAnsiTheme="majorHAnsi" w:cs="Calibri"/>
        </w:rPr>
      </w:pPr>
      <w:r w:rsidRPr="00F93F4E">
        <w:rPr>
          <w:rFonts w:asciiTheme="majorHAnsi" w:hAnsiTheme="majorHAnsi" w:cs="Calibri"/>
        </w:rPr>
        <w:t xml:space="preserve"> </w:t>
      </w:r>
      <w:r w:rsidR="001D05E5" w:rsidRPr="00F93F4E">
        <w:rPr>
          <w:rFonts w:asciiTheme="majorHAnsi" w:hAnsiTheme="majorHAnsi" w:cs="Calibri"/>
        </w:rPr>
        <w:t xml:space="preserve">Część teoretyczna (wykład) </w:t>
      </w:r>
    </w:p>
    <w:p w14:paraId="5241FC46" w14:textId="77777777" w:rsidR="004D7F07" w:rsidRPr="00F93F4E" w:rsidRDefault="001D05E5" w:rsidP="004D7F07">
      <w:pPr>
        <w:numPr>
          <w:ilvl w:val="0"/>
          <w:numId w:val="87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podstawy pomiarów wielkości fizycznych; </w:t>
      </w:r>
    </w:p>
    <w:p w14:paraId="68DEBF67" w14:textId="1C5DB6FE" w:rsidR="001D05E5" w:rsidRPr="00F93F4E" w:rsidRDefault="001D05E5" w:rsidP="004D7F07">
      <w:pPr>
        <w:numPr>
          <w:ilvl w:val="0"/>
          <w:numId w:val="87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pomiary i analizy wibroakustyczne.  </w:t>
      </w:r>
    </w:p>
    <w:p w14:paraId="4461B267" w14:textId="33523756" w:rsidR="001D05E5" w:rsidRPr="00F93F4E" w:rsidRDefault="00D7235D" w:rsidP="004D7F07">
      <w:pPr>
        <w:pStyle w:val="Akapitzlist"/>
        <w:numPr>
          <w:ilvl w:val="1"/>
          <w:numId w:val="91"/>
        </w:numPr>
        <w:spacing w:line="300" w:lineRule="auto"/>
        <w:ind w:left="709"/>
        <w:rPr>
          <w:rFonts w:asciiTheme="majorHAnsi" w:hAnsiTheme="majorHAnsi" w:cs="Calibri"/>
        </w:rPr>
      </w:pPr>
      <w:r w:rsidRPr="00F93F4E">
        <w:rPr>
          <w:rFonts w:asciiTheme="majorHAnsi" w:hAnsiTheme="majorHAnsi" w:cs="Calibri"/>
        </w:rPr>
        <w:t xml:space="preserve"> </w:t>
      </w:r>
      <w:r w:rsidR="001D05E5" w:rsidRPr="00F93F4E">
        <w:rPr>
          <w:rFonts w:asciiTheme="majorHAnsi" w:hAnsiTheme="majorHAnsi" w:cs="Calibri"/>
        </w:rPr>
        <w:t xml:space="preserve">Część praktyczna </w:t>
      </w:r>
    </w:p>
    <w:p w14:paraId="7305E70A" w14:textId="77777777" w:rsidR="001D05E5" w:rsidRPr="00F93F4E" w:rsidRDefault="001D05E5" w:rsidP="004D7F07">
      <w:pPr>
        <w:numPr>
          <w:ilvl w:val="0"/>
          <w:numId w:val="94"/>
        </w:numPr>
        <w:tabs>
          <w:tab w:val="left" w:pos="993"/>
        </w:tabs>
        <w:spacing w:line="300" w:lineRule="auto"/>
        <w:ind w:left="709" w:hanging="159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Pomiary dynamiki strukturalnej budowli, elementów budowlanych </w:t>
      </w:r>
    </w:p>
    <w:p w14:paraId="5517EB3A" w14:textId="77777777" w:rsidR="004D7F07" w:rsidRPr="00F93F4E" w:rsidRDefault="001D05E5" w:rsidP="004D7F07">
      <w:pPr>
        <w:numPr>
          <w:ilvl w:val="0"/>
          <w:numId w:val="94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Pomiary funkcji przejścia </w:t>
      </w:r>
    </w:p>
    <w:p w14:paraId="1B80D998" w14:textId="11AA80B2" w:rsidR="001D05E5" w:rsidRPr="00F93F4E" w:rsidRDefault="001D05E5" w:rsidP="004D7F07">
      <w:pPr>
        <w:numPr>
          <w:ilvl w:val="0"/>
          <w:numId w:val="94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Obsługa analizatora oraz oprogramowania od strony praktycznej </w:t>
      </w:r>
    </w:p>
    <w:p w14:paraId="16B93E7A" w14:textId="4CCAAA1F" w:rsidR="004D7F07" w:rsidRPr="00F93F4E" w:rsidRDefault="001D05E5" w:rsidP="004D7F07">
      <w:pPr>
        <w:spacing w:line="300" w:lineRule="auto"/>
        <w:ind w:left="567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Instruktaż w formie warsztatów praktycznych z zakresu tensometrii elektrooporowej (dla co najmniej 5 osób).  Każdy uczestnik otrzymuje materiały instruktażowe (w tym co najmniej 6szt. tensometrów dla każdej osoby)  </w:t>
      </w:r>
    </w:p>
    <w:p w14:paraId="5C2CBE53" w14:textId="5CE2DCB0" w:rsidR="001D05E5" w:rsidRPr="00F93F4E" w:rsidRDefault="004D7F07" w:rsidP="001D05E5">
      <w:pPr>
        <w:spacing w:line="300" w:lineRule="auto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3. </w:t>
      </w:r>
      <w:r w:rsidR="001D05E5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Szczegóły instruktażu:</w:t>
      </w:r>
    </w:p>
    <w:p w14:paraId="3B8E578F" w14:textId="4A9325E9" w:rsidR="001D05E5" w:rsidRPr="00F93F4E" w:rsidRDefault="004D7F07" w:rsidP="001D05E5">
      <w:pPr>
        <w:spacing w:line="300" w:lineRule="auto"/>
        <w:ind w:left="-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3.</w:t>
      </w:r>
      <w:r w:rsidR="001D05E5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1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)</w:t>
      </w:r>
      <w:r w:rsidR="001D05E5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. Część teoretyczna (wykład) ok. 2 godziny:  </w:t>
      </w:r>
    </w:p>
    <w:p w14:paraId="5EC1E7E2" w14:textId="77777777" w:rsidR="001D05E5" w:rsidRPr="00F93F4E" w:rsidRDefault="001D05E5" w:rsidP="004D7F07">
      <w:pPr>
        <w:numPr>
          <w:ilvl w:val="0"/>
          <w:numId w:val="95"/>
        </w:numPr>
        <w:tabs>
          <w:tab w:val="left" w:pos="993"/>
        </w:tabs>
        <w:spacing w:line="300" w:lineRule="auto"/>
        <w:ind w:left="993" w:hanging="426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Czym są i jakie rozróżniamy rodzaje tensometrów.  </w:t>
      </w:r>
    </w:p>
    <w:p w14:paraId="4FE9A843" w14:textId="77777777" w:rsidR="001D05E5" w:rsidRPr="00F93F4E" w:rsidRDefault="001D05E5" w:rsidP="004D7F07">
      <w:pPr>
        <w:numPr>
          <w:ilvl w:val="0"/>
          <w:numId w:val="95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Zasada działania tensometru oraz mostka Wheatstone’a.  </w:t>
      </w:r>
    </w:p>
    <w:p w14:paraId="51E8E00A" w14:textId="77777777" w:rsidR="001D05E5" w:rsidRPr="00F93F4E" w:rsidRDefault="001D05E5" w:rsidP="004D7F07">
      <w:pPr>
        <w:numPr>
          <w:ilvl w:val="0"/>
          <w:numId w:val="95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Konfiguracje mostków tensometrycznych oraz ich zastosowanie.  </w:t>
      </w:r>
    </w:p>
    <w:p w14:paraId="6DE7C755" w14:textId="77777777" w:rsidR="001D05E5" w:rsidRPr="00F93F4E" w:rsidRDefault="001D05E5" w:rsidP="004D7F07">
      <w:pPr>
        <w:numPr>
          <w:ilvl w:val="0"/>
          <w:numId w:val="95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Metoda instalacji tensometrów.  </w:t>
      </w:r>
    </w:p>
    <w:p w14:paraId="6FD6F0B3" w14:textId="77777777" w:rsidR="001D05E5" w:rsidRPr="00F93F4E" w:rsidRDefault="001D05E5" w:rsidP="004D7F07">
      <w:pPr>
        <w:numPr>
          <w:ilvl w:val="0"/>
          <w:numId w:val="95"/>
        </w:numPr>
        <w:tabs>
          <w:tab w:val="left" w:pos="993"/>
        </w:tabs>
        <w:spacing w:line="300" w:lineRule="auto"/>
        <w:ind w:left="709" w:hanging="142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Zasilanie mostków tensometrycznych oraz pomiar i konwersja jednostek fizycznych na inżynierskie.  </w:t>
      </w:r>
    </w:p>
    <w:p w14:paraId="23DD07BA" w14:textId="4E54BF43" w:rsidR="001D05E5" w:rsidRPr="00F93F4E" w:rsidRDefault="004D7F07" w:rsidP="001D05E5">
      <w:pPr>
        <w:spacing w:line="300" w:lineRule="auto"/>
        <w:ind w:left="-5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3.</w:t>
      </w:r>
      <w:r w:rsidR="001D05E5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2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)</w:t>
      </w:r>
      <w:r w:rsidR="001D05E5"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. Część praktyczna (warsztaty):  </w:t>
      </w:r>
    </w:p>
    <w:p w14:paraId="717E386B" w14:textId="66261C58" w:rsidR="001D05E5" w:rsidRPr="00F93F4E" w:rsidRDefault="001D05E5" w:rsidP="001D05E5">
      <w:pPr>
        <w:spacing w:line="300" w:lineRule="auto"/>
        <w:ind w:left="28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 xml:space="preserve">Podczas części praktycznej uczestnicy instruktażu przygotują własną instalację tensometryczną (1 tensometr w konfiguracji ćwierć-mostka, 2 tensometry w konfiguracji pół-mostka, 3 tensometry w </w:t>
      </w: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lastRenderedPageBreak/>
        <w:t xml:space="preserve">konfiguracji typu rozeta, 4 tensometry w konfiguracji pełnego mostka) na metalowym elemencie. Każdy etap wykonania instalacji zostanie najpierw zaprezentowany przez prowadzącego instruktaż, a następnie powtórzony przez uczestników. Na koniec przygotowane tensometry zostaną podłączone do rejestratora w celu konfiguracji programu oraz odczytu wyników. </w:t>
      </w:r>
    </w:p>
    <w:p w14:paraId="5F1A3AE7" w14:textId="77777777" w:rsidR="00074842" w:rsidRPr="00F93F4E" w:rsidRDefault="00074842" w:rsidP="001D05E5">
      <w:pPr>
        <w:spacing w:line="300" w:lineRule="auto"/>
        <w:ind w:left="284"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</w:p>
    <w:p w14:paraId="5F3E2A3F" w14:textId="37D24D5A" w:rsidR="00074842" w:rsidRPr="00F93F4E" w:rsidRDefault="00074842" w:rsidP="00074842">
      <w:pPr>
        <w:numPr>
          <w:ilvl w:val="0"/>
          <w:numId w:val="64"/>
        </w:numPr>
        <w:shd w:val="clear" w:color="auto" w:fill="BFBFBF" w:themeFill="background1" w:themeFillShade="BF"/>
        <w:spacing w:line="300" w:lineRule="auto"/>
        <w:ind w:left="284" w:hanging="284"/>
        <w:contextualSpacing/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</w:pPr>
      <w:r w:rsidRPr="00F93F4E">
        <w:rPr>
          <w:rFonts w:asciiTheme="majorHAnsi" w:eastAsia="Calibri" w:hAnsiTheme="majorHAnsi" w:cs="Calibri"/>
          <w:bCs w:val="0"/>
          <w:kern w:val="0"/>
          <w:sz w:val="22"/>
          <w:szCs w:val="22"/>
          <w:lang w:eastAsia="en-US"/>
        </w:rPr>
        <w:t>Warunki gwarancji Aparatury</w:t>
      </w:r>
    </w:p>
    <w:p w14:paraId="542A6142" w14:textId="77777777" w:rsidR="00074842" w:rsidRPr="00F93F4E" w:rsidRDefault="00074842" w:rsidP="00074842">
      <w:pPr>
        <w:spacing w:line="300" w:lineRule="auto"/>
        <w:ind w:left="284"/>
        <w:contextualSpacing/>
        <w:rPr>
          <w:rFonts w:asciiTheme="majorHAnsi" w:hAnsiTheme="majorHAnsi" w:cs="Calibri"/>
          <w:sz w:val="22"/>
          <w:szCs w:val="22"/>
        </w:rPr>
      </w:pPr>
      <w:r w:rsidRPr="00F93F4E">
        <w:rPr>
          <w:rFonts w:asciiTheme="majorHAnsi" w:hAnsiTheme="majorHAnsi" w:cs="Calibri"/>
          <w:sz w:val="22"/>
          <w:szCs w:val="22"/>
        </w:rPr>
        <w:t xml:space="preserve">Co najmniej </w:t>
      </w:r>
      <w:r w:rsidRPr="00F93F4E">
        <w:rPr>
          <w:rFonts w:asciiTheme="majorHAnsi" w:hAnsiTheme="majorHAnsi" w:cs="Calibri"/>
          <w:b/>
          <w:sz w:val="22"/>
          <w:szCs w:val="22"/>
        </w:rPr>
        <w:t>12 miesięcy</w:t>
      </w:r>
      <w:r w:rsidRPr="00F93F4E">
        <w:rPr>
          <w:rFonts w:asciiTheme="majorHAnsi" w:hAnsiTheme="majorHAnsi" w:cs="Calibri"/>
          <w:sz w:val="22"/>
          <w:szCs w:val="22"/>
        </w:rPr>
        <w:t xml:space="preserve"> od daty potwierdzenia należytego wykonania zamówienia </w:t>
      </w:r>
      <w:bookmarkStart w:id="3" w:name="_GoBack"/>
      <w:bookmarkEnd w:id="3"/>
    </w:p>
    <w:sectPr w:rsidR="00074842" w:rsidRPr="00F93F4E" w:rsidSect="00021A41">
      <w:footerReference w:type="default" r:id="rId12"/>
      <w:headerReference w:type="first" r:id="rId13"/>
      <w:footerReference w:type="first" r:id="rId14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484E" w14:textId="77777777" w:rsidR="00760F52" w:rsidRDefault="00760F52" w:rsidP="001320DB">
      <w:r>
        <w:separator/>
      </w:r>
    </w:p>
  </w:endnote>
  <w:endnote w:type="continuationSeparator" w:id="0">
    <w:p w14:paraId="087C0745" w14:textId="77777777" w:rsidR="00760F52" w:rsidRDefault="00760F52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209A" w14:textId="622FD5EC" w:rsidR="00674B05" w:rsidRPr="00CE5AD6" w:rsidRDefault="00674B05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1BFD3240" w:rsidR="00674B05" w:rsidRPr="00021A41" w:rsidRDefault="00674B05" w:rsidP="009653DC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E5AD6">
      <w:rPr>
        <w:sz w:val="18"/>
        <w:szCs w:val="18"/>
      </w:rPr>
      <w:t xml:space="preserve">e-mail: </w:t>
    </w:r>
    <w:r>
      <w:rPr>
        <w:sz w:val="18"/>
        <w:szCs w:val="18"/>
      </w:rPr>
      <w:t>przetargi</w:t>
    </w:r>
    <w:r w:rsidRPr="00021A41">
      <w:rPr>
        <w:sz w:val="18"/>
        <w:szCs w:val="18"/>
      </w:rPr>
      <w:t>@pbs.edu.pl</w:t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D81C14" w:rsidRPr="00D81C14">
      <w:rPr>
        <w:rFonts w:asciiTheme="majorHAnsi" w:eastAsiaTheme="majorEastAsia" w:hAnsiTheme="majorHAnsi" w:cstheme="majorHAnsi"/>
        <w:noProof/>
        <w:sz w:val="18"/>
        <w:szCs w:val="18"/>
      </w:rPr>
      <w:t>10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3C5C" w14:textId="0070AAF5" w:rsidR="00674B05" w:rsidRPr="00CE5AD6" w:rsidRDefault="00674B05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325B31A2" w:rsidR="00674B05" w:rsidRPr="00021A41" w:rsidRDefault="00674B05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E5AD6">
      <w:rPr>
        <w:sz w:val="18"/>
        <w:szCs w:val="18"/>
      </w:rPr>
      <w:t xml:space="preserve">e-mail: </w:t>
    </w:r>
    <w:r>
      <w:rPr>
        <w:sz w:val="18"/>
        <w:szCs w:val="18"/>
      </w:rPr>
      <w:t>przetargi</w:t>
    </w:r>
    <w:r w:rsidRPr="00021A41">
      <w:rPr>
        <w:sz w:val="18"/>
        <w:szCs w:val="18"/>
      </w:rPr>
      <w:t>@pbs.edu.pl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D81C14" w:rsidRPr="00D81C14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F4FE" w14:textId="77777777" w:rsidR="00760F52" w:rsidRDefault="00760F52" w:rsidP="001320DB">
      <w:r>
        <w:separator/>
      </w:r>
    </w:p>
  </w:footnote>
  <w:footnote w:type="continuationSeparator" w:id="0">
    <w:p w14:paraId="127BC58D" w14:textId="77777777" w:rsidR="00760F52" w:rsidRDefault="00760F52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C617" w14:textId="2B350AFE" w:rsidR="00674B05" w:rsidRDefault="00674B05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AD7FE6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175B16"/>
    <w:multiLevelType w:val="hybridMultilevel"/>
    <w:tmpl w:val="E5B27E0E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37939"/>
    <w:multiLevelType w:val="hybridMultilevel"/>
    <w:tmpl w:val="AF8C2050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E35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E6B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8099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A59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CE7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E67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4BE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CE3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C55CDFD4"/>
    <w:lvl w:ilvl="0" w:tplc="6A581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1D55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6494845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776BE"/>
    <w:multiLevelType w:val="hybridMultilevel"/>
    <w:tmpl w:val="C5AE1ADA"/>
    <w:lvl w:ilvl="0" w:tplc="9EFE1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974E7"/>
    <w:multiLevelType w:val="hybridMultilevel"/>
    <w:tmpl w:val="EE7A3E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C4700C"/>
    <w:multiLevelType w:val="multilevel"/>
    <w:tmpl w:val="BD5CF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0CC80D5E"/>
    <w:multiLevelType w:val="hybridMultilevel"/>
    <w:tmpl w:val="ED6246D8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652A4"/>
    <w:multiLevelType w:val="hybridMultilevel"/>
    <w:tmpl w:val="357410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102531"/>
    <w:multiLevelType w:val="hybridMultilevel"/>
    <w:tmpl w:val="22789AB0"/>
    <w:lvl w:ilvl="0" w:tplc="04150017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7452F6"/>
    <w:multiLevelType w:val="hybridMultilevel"/>
    <w:tmpl w:val="C8585CC8"/>
    <w:lvl w:ilvl="0" w:tplc="9A92498A">
      <w:start w:val="1"/>
      <w:numFmt w:val="lowerLetter"/>
      <w:lvlText w:val="%1."/>
      <w:lvlJc w:val="left"/>
      <w:pPr>
        <w:ind w:left="12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BD7AB4"/>
    <w:multiLevelType w:val="hybridMultilevel"/>
    <w:tmpl w:val="26C23A20"/>
    <w:lvl w:ilvl="0" w:tplc="2E26D48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82B84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DB1512F"/>
    <w:multiLevelType w:val="hybridMultilevel"/>
    <w:tmpl w:val="728E41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FCB5E03"/>
    <w:multiLevelType w:val="hybridMultilevel"/>
    <w:tmpl w:val="CF3A6A84"/>
    <w:lvl w:ilvl="0" w:tplc="B30A0F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23ABA"/>
    <w:multiLevelType w:val="hybridMultilevel"/>
    <w:tmpl w:val="5D9A4D7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44FA6"/>
    <w:multiLevelType w:val="hybridMultilevel"/>
    <w:tmpl w:val="8A767160"/>
    <w:lvl w:ilvl="0" w:tplc="46800E7C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1" w:tplc="EA9283A8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0" w15:restartNumberingAfterBreak="0">
    <w:nsid w:val="2DA3139B"/>
    <w:multiLevelType w:val="hybridMultilevel"/>
    <w:tmpl w:val="6CB2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126A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327A3B44"/>
    <w:multiLevelType w:val="hybridMultilevel"/>
    <w:tmpl w:val="9A1EF69C"/>
    <w:lvl w:ilvl="0" w:tplc="04150011">
      <w:start w:val="1"/>
      <w:numFmt w:val="decimal"/>
      <w:lvlText w:val="%1)"/>
      <w:lvlJc w:val="left"/>
      <w:pPr>
        <w:ind w:left="705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89C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27D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61C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86D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6BA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AF2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E4C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9E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35872CE3"/>
    <w:multiLevelType w:val="hybridMultilevel"/>
    <w:tmpl w:val="E5B27E0E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CE54A3"/>
    <w:multiLevelType w:val="hybridMultilevel"/>
    <w:tmpl w:val="8C7AB67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260020"/>
    <w:multiLevelType w:val="hybridMultilevel"/>
    <w:tmpl w:val="EAA4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D95857"/>
    <w:multiLevelType w:val="hybridMultilevel"/>
    <w:tmpl w:val="26C23A20"/>
    <w:lvl w:ilvl="0" w:tplc="FFFFFFFF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C0D86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377A7EBB"/>
    <w:multiLevelType w:val="hybridMultilevel"/>
    <w:tmpl w:val="2128429C"/>
    <w:lvl w:ilvl="0" w:tplc="BD806EF0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6B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048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02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2A5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4BA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ED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3C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021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7C53920"/>
    <w:multiLevelType w:val="hybridMultilevel"/>
    <w:tmpl w:val="74DEF01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F770B"/>
    <w:multiLevelType w:val="hybridMultilevel"/>
    <w:tmpl w:val="B2641DDC"/>
    <w:lvl w:ilvl="0" w:tplc="F0C436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477930"/>
    <w:multiLevelType w:val="hybridMultilevel"/>
    <w:tmpl w:val="9DD0C902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46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7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5728C6"/>
    <w:multiLevelType w:val="hybridMultilevel"/>
    <w:tmpl w:val="C3AADC14"/>
    <w:lvl w:ilvl="0" w:tplc="0415000F">
      <w:start w:val="1"/>
      <w:numFmt w:val="decimal"/>
      <w:lvlText w:val="%1."/>
      <w:lvlJc w:val="left"/>
      <w:pPr>
        <w:ind w:left="1065" w:hanging="360"/>
      </w:pPr>
      <w:rPr>
        <w:b/>
        <w:bCs/>
      </w:rPr>
    </w:lvl>
    <w:lvl w:ilvl="1" w:tplc="9A96DA84">
      <w:start w:val="1"/>
      <w:numFmt w:val="bullet"/>
      <w:lvlText w:val=""/>
      <w:lvlJc w:val="left"/>
      <w:pPr>
        <w:ind w:left="1785" w:hanging="360"/>
      </w:pPr>
      <w:rPr>
        <w:rFonts w:ascii="Symbol" w:eastAsia="Calibri" w:hAnsi="Symbol" w:cstheme="minorHAnsi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0" w15:restartNumberingAfterBreak="0">
    <w:nsid w:val="42A15B41"/>
    <w:multiLevelType w:val="hybridMultilevel"/>
    <w:tmpl w:val="0540AAAA"/>
    <w:lvl w:ilvl="0" w:tplc="A8D0CF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4E36AD8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3" w15:restartNumberingAfterBreak="0">
    <w:nsid w:val="45F211B8"/>
    <w:multiLevelType w:val="hybridMultilevel"/>
    <w:tmpl w:val="62304F80"/>
    <w:lvl w:ilvl="0" w:tplc="67F0FF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FE6E2D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4C5D49A2"/>
    <w:multiLevelType w:val="hybridMultilevel"/>
    <w:tmpl w:val="4828855A"/>
    <w:lvl w:ilvl="0" w:tplc="5E38EB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4A2C74"/>
    <w:multiLevelType w:val="hybridMultilevel"/>
    <w:tmpl w:val="3CB67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B932C0"/>
    <w:multiLevelType w:val="hybridMultilevel"/>
    <w:tmpl w:val="5D9A4D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520437D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2A24D66"/>
    <w:multiLevelType w:val="hybridMultilevel"/>
    <w:tmpl w:val="50C2AA06"/>
    <w:lvl w:ilvl="0" w:tplc="04150017">
      <w:start w:val="1"/>
      <w:numFmt w:val="lowerLetter"/>
      <w:lvlText w:val="%1)"/>
      <w:lvlJc w:val="left"/>
      <w:pPr>
        <w:ind w:left="16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C513E1"/>
    <w:multiLevelType w:val="hybridMultilevel"/>
    <w:tmpl w:val="0DE2E564"/>
    <w:lvl w:ilvl="0" w:tplc="B2B2D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15DCC"/>
    <w:multiLevelType w:val="hybridMultilevel"/>
    <w:tmpl w:val="4B543E02"/>
    <w:lvl w:ilvl="0" w:tplc="23DE84F6">
      <w:start w:val="1"/>
      <w:numFmt w:val="decimal"/>
      <w:lvlText w:val="%1."/>
      <w:lvlJc w:val="left"/>
      <w:pPr>
        <w:ind w:left="705"/>
      </w:pPr>
      <w:rPr>
        <w:rFonts w:asciiTheme="majorHAnsi" w:eastAsia="Calibri" w:hAnsiTheme="majorHAns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8E1059B"/>
    <w:multiLevelType w:val="hybridMultilevel"/>
    <w:tmpl w:val="692A07C8"/>
    <w:lvl w:ilvl="0" w:tplc="04150017">
      <w:start w:val="1"/>
      <w:numFmt w:val="lowerLetter"/>
      <w:lvlText w:val="%1)"/>
      <w:lvlJc w:val="left"/>
      <w:pPr>
        <w:ind w:left="16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A012899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5C660182"/>
    <w:multiLevelType w:val="hybridMultilevel"/>
    <w:tmpl w:val="E5B27E0E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F60CB4"/>
    <w:multiLevelType w:val="hybridMultilevel"/>
    <w:tmpl w:val="D96220F0"/>
    <w:lvl w:ilvl="0" w:tplc="1FAC4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F741E68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0EA4D59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1542F12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79" w15:restartNumberingAfterBreak="0">
    <w:nsid w:val="66C274CC"/>
    <w:multiLevelType w:val="hybridMultilevel"/>
    <w:tmpl w:val="6BF2A0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71D0D01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7684150"/>
    <w:multiLevelType w:val="hybridMultilevel"/>
    <w:tmpl w:val="2A406752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8D2917"/>
    <w:multiLevelType w:val="hybridMultilevel"/>
    <w:tmpl w:val="3A0A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974961"/>
    <w:multiLevelType w:val="hybridMultilevel"/>
    <w:tmpl w:val="BC72D35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4" w15:restartNumberingAfterBreak="0">
    <w:nsid w:val="6A2715B2"/>
    <w:multiLevelType w:val="hybridMultilevel"/>
    <w:tmpl w:val="59EAEB92"/>
    <w:lvl w:ilvl="0" w:tplc="C3DEA9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B62603"/>
    <w:multiLevelType w:val="hybridMultilevel"/>
    <w:tmpl w:val="7E20FD96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B9924BD"/>
    <w:multiLevelType w:val="hybridMultilevel"/>
    <w:tmpl w:val="4CDC0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735652"/>
    <w:multiLevelType w:val="hybridMultilevel"/>
    <w:tmpl w:val="22789AB0"/>
    <w:lvl w:ilvl="0" w:tplc="FFFFFFFF">
      <w:start w:val="1"/>
      <w:numFmt w:val="lowerLetter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A0574A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89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1911B5F"/>
    <w:multiLevelType w:val="hybridMultilevel"/>
    <w:tmpl w:val="B3FAF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9D7A55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2" w15:restartNumberingAfterBreak="0">
    <w:nsid w:val="75731E11"/>
    <w:multiLevelType w:val="hybridMultilevel"/>
    <w:tmpl w:val="ADC00976"/>
    <w:lvl w:ilvl="0" w:tplc="04150017">
      <w:start w:val="1"/>
      <w:numFmt w:val="lowerLetter"/>
      <w:lvlText w:val="%1)"/>
      <w:lvlJc w:val="left"/>
      <w:pPr>
        <w:ind w:left="15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DE7FF9"/>
    <w:multiLevelType w:val="hybridMultilevel"/>
    <w:tmpl w:val="8A767160"/>
    <w:lvl w:ilvl="0" w:tplc="FFFFFFFF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ahoma" w:eastAsia="Times New Roman" w:hAnsi="Tahoma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5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474B3B"/>
    <w:multiLevelType w:val="hybridMultilevel"/>
    <w:tmpl w:val="3CF638BE"/>
    <w:lvl w:ilvl="0" w:tplc="2334E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89"/>
  </w:num>
  <w:num w:numId="4">
    <w:abstractNumId w:val="30"/>
  </w:num>
  <w:num w:numId="5">
    <w:abstractNumId w:val="63"/>
  </w:num>
  <w:num w:numId="6">
    <w:abstractNumId w:val="58"/>
  </w:num>
  <w:num w:numId="7">
    <w:abstractNumId w:val="27"/>
  </w:num>
  <w:num w:numId="8">
    <w:abstractNumId w:val="4"/>
  </w:num>
  <w:num w:numId="9">
    <w:abstractNumId w:val="81"/>
  </w:num>
  <w:num w:numId="10">
    <w:abstractNumId w:val="42"/>
  </w:num>
  <w:num w:numId="11">
    <w:abstractNumId w:val="57"/>
  </w:num>
  <w:num w:numId="12">
    <w:abstractNumId w:val="65"/>
  </w:num>
  <w:num w:numId="13">
    <w:abstractNumId w:val="91"/>
  </w:num>
  <w:num w:numId="14">
    <w:abstractNumId w:val="50"/>
  </w:num>
  <w:num w:numId="15">
    <w:abstractNumId w:val="66"/>
  </w:num>
  <w:num w:numId="16">
    <w:abstractNumId w:val="7"/>
  </w:num>
  <w:num w:numId="17">
    <w:abstractNumId w:val="9"/>
  </w:num>
  <w:num w:numId="18">
    <w:abstractNumId w:val="44"/>
  </w:num>
  <w:num w:numId="19">
    <w:abstractNumId w:val="8"/>
  </w:num>
  <w:num w:numId="20">
    <w:abstractNumId w:val="47"/>
  </w:num>
  <w:num w:numId="21">
    <w:abstractNumId w:val="96"/>
  </w:num>
  <w:num w:numId="22">
    <w:abstractNumId w:val="43"/>
  </w:num>
  <w:num w:numId="23">
    <w:abstractNumId w:val="14"/>
  </w:num>
  <w:num w:numId="24">
    <w:abstractNumId w:val="46"/>
  </w:num>
  <w:num w:numId="25">
    <w:abstractNumId w:val="93"/>
  </w:num>
  <w:num w:numId="26">
    <w:abstractNumId w:val="95"/>
  </w:num>
  <w:num w:numId="27">
    <w:abstractNumId w:val="67"/>
  </w:num>
  <w:num w:numId="28">
    <w:abstractNumId w:val="18"/>
  </w:num>
  <w:num w:numId="29">
    <w:abstractNumId w:val="73"/>
  </w:num>
  <w:num w:numId="30">
    <w:abstractNumId w:val="25"/>
  </w:num>
  <w:num w:numId="31">
    <w:abstractNumId w:val="24"/>
  </w:num>
  <w:num w:numId="32">
    <w:abstractNumId w:val="68"/>
  </w:num>
  <w:num w:numId="33">
    <w:abstractNumId w:val="0"/>
  </w:num>
  <w:num w:numId="34">
    <w:abstractNumId w:val="51"/>
  </w:num>
  <w:num w:numId="35">
    <w:abstractNumId w:val="53"/>
  </w:num>
  <w:num w:numId="36">
    <w:abstractNumId w:val="17"/>
  </w:num>
  <w:num w:numId="37">
    <w:abstractNumId w:val="61"/>
  </w:num>
  <w:num w:numId="38">
    <w:abstractNumId w:val="34"/>
  </w:num>
  <w:num w:numId="39">
    <w:abstractNumId w:val="84"/>
  </w:num>
  <w:num w:numId="40">
    <w:abstractNumId w:val="49"/>
  </w:num>
  <w:num w:numId="41">
    <w:abstractNumId w:val="36"/>
  </w:num>
  <w:num w:numId="42">
    <w:abstractNumId w:val="23"/>
  </w:num>
  <w:num w:numId="43">
    <w:abstractNumId w:val="10"/>
  </w:num>
  <w:num w:numId="44">
    <w:abstractNumId w:val="15"/>
  </w:num>
  <w:num w:numId="45">
    <w:abstractNumId w:val="21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8"/>
  </w:num>
  <w:num w:numId="51">
    <w:abstractNumId w:val="88"/>
  </w:num>
  <w:num w:numId="52">
    <w:abstractNumId w:val="90"/>
  </w:num>
  <w:num w:numId="53">
    <w:abstractNumId w:val="5"/>
  </w:num>
  <w:num w:numId="54">
    <w:abstractNumId w:val="39"/>
  </w:num>
  <w:num w:numId="55">
    <w:abstractNumId w:val="54"/>
  </w:num>
  <w:num w:numId="56">
    <w:abstractNumId w:val="1"/>
  </w:num>
  <w:num w:numId="57">
    <w:abstractNumId w:val="62"/>
  </w:num>
  <w:num w:numId="58">
    <w:abstractNumId w:val="6"/>
  </w:num>
  <w:num w:numId="59">
    <w:abstractNumId w:val="71"/>
  </w:num>
  <w:num w:numId="60">
    <w:abstractNumId w:val="82"/>
  </w:num>
  <w:num w:numId="61">
    <w:abstractNumId w:val="33"/>
  </w:num>
  <w:num w:numId="62">
    <w:abstractNumId w:val="3"/>
  </w:num>
  <w:num w:numId="63">
    <w:abstractNumId w:val="40"/>
  </w:num>
  <w:num w:numId="64">
    <w:abstractNumId w:val="48"/>
  </w:num>
  <w:num w:numId="65">
    <w:abstractNumId w:val="79"/>
  </w:num>
  <w:num w:numId="66">
    <w:abstractNumId w:val="70"/>
  </w:num>
  <w:num w:numId="67">
    <w:abstractNumId w:val="60"/>
  </w:num>
  <w:num w:numId="68">
    <w:abstractNumId w:val="26"/>
  </w:num>
  <w:num w:numId="69">
    <w:abstractNumId w:val="64"/>
  </w:num>
  <w:num w:numId="70">
    <w:abstractNumId w:val="41"/>
  </w:num>
  <w:num w:numId="71">
    <w:abstractNumId w:val="85"/>
  </w:num>
  <w:num w:numId="72">
    <w:abstractNumId w:val="92"/>
  </w:num>
  <w:num w:numId="73">
    <w:abstractNumId w:val="13"/>
  </w:num>
  <w:num w:numId="74">
    <w:abstractNumId w:val="59"/>
  </w:num>
  <w:num w:numId="75">
    <w:abstractNumId w:val="19"/>
  </w:num>
  <w:num w:numId="76">
    <w:abstractNumId w:val="38"/>
  </w:num>
  <w:num w:numId="77">
    <w:abstractNumId w:val="16"/>
  </w:num>
  <w:num w:numId="78">
    <w:abstractNumId w:val="75"/>
  </w:num>
  <w:num w:numId="79">
    <w:abstractNumId w:val="76"/>
  </w:num>
  <w:num w:numId="80">
    <w:abstractNumId w:val="87"/>
  </w:num>
  <w:num w:numId="81">
    <w:abstractNumId w:val="80"/>
  </w:num>
  <w:num w:numId="82">
    <w:abstractNumId w:val="77"/>
  </w:num>
  <w:num w:numId="83">
    <w:abstractNumId w:val="83"/>
  </w:num>
  <w:num w:numId="84">
    <w:abstractNumId w:val="20"/>
  </w:num>
  <w:num w:numId="85">
    <w:abstractNumId w:val="86"/>
  </w:num>
  <w:num w:numId="86">
    <w:abstractNumId w:val="69"/>
  </w:num>
  <w:num w:numId="87">
    <w:abstractNumId w:val="35"/>
  </w:num>
  <w:num w:numId="88">
    <w:abstractNumId w:val="32"/>
  </w:num>
  <w:num w:numId="89">
    <w:abstractNumId w:val="29"/>
  </w:num>
  <w:num w:numId="90">
    <w:abstractNumId w:val="94"/>
  </w:num>
  <w:num w:numId="91">
    <w:abstractNumId w:val="12"/>
  </w:num>
  <w:num w:numId="92">
    <w:abstractNumId w:val="52"/>
  </w:num>
  <w:num w:numId="93">
    <w:abstractNumId w:val="31"/>
  </w:num>
  <w:num w:numId="94">
    <w:abstractNumId w:val="2"/>
  </w:num>
  <w:num w:numId="95">
    <w:abstractNumId w:val="72"/>
  </w:num>
  <w:num w:numId="96">
    <w:abstractNumId w:val="37"/>
  </w:num>
  <w:num w:numId="97">
    <w:abstractNumId w:val="7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DB"/>
    <w:rsid w:val="00000355"/>
    <w:rsid w:val="0001276B"/>
    <w:rsid w:val="00021A41"/>
    <w:rsid w:val="00064CAE"/>
    <w:rsid w:val="00070BFC"/>
    <w:rsid w:val="00073959"/>
    <w:rsid w:val="000744E8"/>
    <w:rsid w:val="00074842"/>
    <w:rsid w:val="000814DD"/>
    <w:rsid w:val="000935DD"/>
    <w:rsid w:val="0009680E"/>
    <w:rsid w:val="000A716A"/>
    <w:rsid w:val="000B1F3C"/>
    <w:rsid w:val="000C6F34"/>
    <w:rsid w:val="000D261D"/>
    <w:rsid w:val="000D32B5"/>
    <w:rsid w:val="000D5784"/>
    <w:rsid w:val="000F3FC6"/>
    <w:rsid w:val="000F4CF4"/>
    <w:rsid w:val="00114BFE"/>
    <w:rsid w:val="0012213E"/>
    <w:rsid w:val="001320DB"/>
    <w:rsid w:val="00132573"/>
    <w:rsid w:val="00160AA8"/>
    <w:rsid w:val="00175C33"/>
    <w:rsid w:val="001801FE"/>
    <w:rsid w:val="001A058E"/>
    <w:rsid w:val="001C7818"/>
    <w:rsid w:val="001D05E5"/>
    <w:rsid w:val="001E127A"/>
    <w:rsid w:val="001E1FC8"/>
    <w:rsid w:val="001F0A1D"/>
    <w:rsid w:val="001F24A7"/>
    <w:rsid w:val="00210223"/>
    <w:rsid w:val="00211DC0"/>
    <w:rsid w:val="00226510"/>
    <w:rsid w:val="002275AA"/>
    <w:rsid w:val="00247CB3"/>
    <w:rsid w:val="0026425B"/>
    <w:rsid w:val="00270298"/>
    <w:rsid w:val="0027124B"/>
    <w:rsid w:val="00287739"/>
    <w:rsid w:val="002A1C8D"/>
    <w:rsid w:val="002D1AEF"/>
    <w:rsid w:val="002D4825"/>
    <w:rsid w:val="002E354C"/>
    <w:rsid w:val="003010F9"/>
    <w:rsid w:val="00301698"/>
    <w:rsid w:val="00304D4D"/>
    <w:rsid w:val="00322AED"/>
    <w:rsid w:val="0032721A"/>
    <w:rsid w:val="00335F05"/>
    <w:rsid w:val="00342110"/>
    <w:rsid w:val="003855FA"/>
    <w:rsid w:val="003943D1"/>
    <w:rsid w:val="003977DE"/>
    <w:rsid w:val="003B02AC"/>
    <w:rsid w:val="003B64AA"/>
    <w:rsid w:val="003D5D34"/>
    <w:rsid w:val="003E48B4"/>
    <w:rsid w:val="003F20B7"/>
    <w:rsid w:val="0040175B"/>
    <w:rsid w:val="00405FB7"/>
    <w:rsid w:val="00417815"/>
    <w:rsid w:val="0043779E"/>
    <w:rsid w:val="00440B9F"/>
    <w:rsid w:val="00461458"/>
    <w:rsid w:val="004A295E"/>
    <w:rsid w:val="004C0DB9"/>
    <w:rsid w:val="004C7BD2"/>
    <w:rsid w:val="004D303E"/>
    <w:rsid w:val="004D7F07"/>
    <w:rsid w:val="004E2279"/>
    <w:rsid w:val="0050208C"/>
    <w:rsid w:val="0050264D"/>
    <w:rsid w:val="005047FD"/>
    <w:rsid w:val="0051708C"/>
    <w:rsid w:val="00526603"/>
    <w:rsid w:val="00540E97"/>
    <w:rsid w:val="00543C52"/>
    <w:rsid w:val="00545E43"/>
    <w:rsid w:val="00571675"/>
    <w:rsid w:val="0057785F"/>
    <w:rsid w:val="00584379"/>
    <w:rsid w:val="00585585"/>
    <w:rsid w:val="00590E0C"/>
    <w:rsid w:val="005B3A3D"/>
    <w:rsid w:val="005F1030"/>
    <w:rsid w:val="00617186"/>
    <w:rsid w:val="006266A8"/>
    <w:rsid w:val="00664583"/>
    <w:rsid w:val="00667BEB"/>
    <w:rsid w:val="0067390D"/>
    <w:rsid w:val="00674B05"/>
    <w:rsid w:val="00675E87"/>
    <w:rsid w:val="00693251"/>
    <w:rsid w:val="006A360D"/>
    <w:rsid w:val="006A62F1"/>
    <w:rsid w:val="006D03BC"/>
    <w:rsid w:val="006D4BAF"/>
    <w:rsid w:val="006F6E4F"/>
    <w:rsid w:val="00714147"/>
    <w:rsid w:val="0072172A"/>
    <w:rsid w:val="00726A08"/>
    <w:rsid w:val="0074608B"/>
    <w:rsid w:val="00760F52"/>
    <w:rsid w:val="007619E3"/>
    <w:rsid w:val="00767D24"/>
    <w:rsid w:val="007801D9"/>
    <w:rsid w:val="0078026D"/>
    <w:rsid w:val="007900F7"/>
    <w:rsid w:val="00796C14"/>
    <w:rsid w:val="007D4263"/>
    <w:rsid w:val="007F7764"/>
    <w:rsid w:val="00801594"/>
    <w:rsid w:val="00804F6F"/>
    <w:rsid w:val="00822333"/>
    <w:rsid w:val="008336CB"/>
    <w:rsid w:val="00837B2A"/>
    <w:rsid w:val="00847D96"/>
    <w:rsid w:val="0086065A"/>
    <w:rsid w:val="00875640"/>
    <w:rsid w:val="008773EE"/>
    <w:rsid w:val="0088410D"/>
    <w:rsid w:val="008B707E"/>
    <w:rsid w:val="008D08F8"/>
    <w:rsid w:val="008E7B75"/>
    <w:rsid w:val="009015A6"/>
    <w:rsid w:val="0090408B"/>
    <w:rsid w:val="009154B3"/>
    <w:rsid w:val="00932087"/>
    <w:rsid w:val="009446B9"/>
    <w:rsid w:val="00956EA1"/>
    <w:rsid w:val="009653DC"/>
    <w:rsid w:val="009810CA"/>
    <w:rsid w:val="009A7C35"/>
    <w:rsid w:val="009D1DBD"/>
    <w:rsid w:val="009D2F36"/>
    <w:rsid w:val="009E694D"/>
    <w:rsid w:val="009F373C"/>
    <w:rsid w:val="00A05FFF"/>
    <w:rsid w:val="00A14FCC"/>
    <w:rsid w:val="00A27487"/>
    <w:rsid w:val="00A30586"/>
    <w:rsid w:val="00A30F13"/>
    <w:rsid w:val="00A3397D"/>
    <w:rsid w:val="00A41848"/>
    <w:rsid w:val="00A51185"/>
    <w:rsid w:val="00A84C4A"/>
    <w:rsid w:val="00A9653D"/>
    <w:rsid w:val="00AA4918"/>
    <w:rsid w:val="00AD43F3"/>
    <w:rsid w:val="00AD4F40"/>
    <w:rsid w:val="00B0271B"/>
    <w:rsid w:val="00B1692B"/>
    <w:rsid w:val="00B21788"/>
    <w:rsid w:val="00B41183"/>
    <w:rsid w:val="00B62818"/>
    <w:rsid w:val="00B67E60"/>
    <w:rsid w:val="00B7233B"/>
    <w:rsid w:val="00B84ABE"/>
    <w:rsid w:val="00B851B2"/>
    <w:rsid w:val="00B9263A"/>
    <w:rsid w:val="00BA1926"/>
    <w:rsid w:val="00BA1FA4"/>
    <w:rsid w:val="00BB19A0"/>
    <w:rsid w:val="00BB57C1"/>
    <w:rsid w:val="00BC10FC"/>
    <w:rsid w:val="00BC1ECB"/>
    <w:rsid w:val="00C03D85"/>
    <w:rsid w:val="00C15B87"/>
    <w:rsid w:val="00C174E3"/>
    <w:rsid w:val="00C4753B"/>
    <w:rsid w:val="00C62915"/>
    <w:rsid w:val="00C8153F"/>
    <w:rsid w:val="00CA1A57"/>
    <w:rsid w:val="00CC732A"/>
    <w:rsid w:val="00CD34DC"/>
    <w:rsid w:val="00CE5AD6"/>
    <w:rsid w:val="00CE5E13"/>
    <w:rsid w:val="00D02821"/>
    <w:rsid w:val="00D06734"/>
    <w:rsid w:val="00D07314"/>
    <w:rsid w:val="00D1480C"/>
    <w:rsid w:val="00D201F5"/>
    <w:rsid w:val="00D43C36"/>
    <w:rsid w:val="00D711B4"/>
    <w:rsid w:val="00D7235D"/>
    <w:rsid w:val="00D72C2B"/>
    <w:rsid w:val="00D81C14"/>
    <w:rsid w:val="00D96207"/>
    <w:rsid w:val="00DB4F16"/>
    <w:rsid w:val="00DD1F83"/>
    <w:rsid w:val="00DE6157"/>
    <w:rsid w:val="00DE7C15"/>
    <w:rsid w:val="00DF4E16"/>
    <w:rsid w:val="00E136B0"/>
    <w:rsid w:val="00E17199"/>
    <w:rsid w:val="00E351A3"/>
    <w:rsid w:val="00E5270B"/>
    <w:rsid w:val="00E6515B"/>
    <w:rsid w:val="00EA40EC"/>
    <w:rsid w:val="00EB4B52"/>
    <w:rsid w:val="00ED186D"/>
    <w:rsid w:val="00ED2674"/>
    <w:rsid w:val="00ED672C"/>
    <w:rsid w:val="00EE25FA"/>
    <w:rsid w:val="00EF6045"/>
    <w:rsid w:val="00F566CF"/>
    <w:rsid w:val="00F608D8"/>
    <w:rsid w:val="00F67891"/>
    <w:rsid w:val="00F73AED"/>
    <w:rsid w:val="00F93F4E"/>
    <w:rsid w:val="00FA7390"/>
    <w:rsid w:val="00FA73E1"/>
    <w:rsid w:val="00FC722C"/>
    <w:rsid w:val="00FD4A4D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BŚ Normal"/>
    <w:qFormat/>
    <w:rsid w:val="00714147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32573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2573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2573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257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13257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13257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1325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32573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32573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32573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32573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2573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32573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32573"/>
  </w:style>
  <w:style w:type="paragraph" w:styleId="Tekstpodstawowy">
    <w:name w:val="Body Text"/>
    <w:basedOn w:val="Normalny"/>
    <w:link w:val="TekstpodstawowyZnak"/>
    <w:semiHidden/>
    <w:rsid w:val="00132573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2573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2573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32573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132573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132573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132573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2573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2573"/>
  </w:style>
  <w:style w:type="paragraph" w:styleId="Tekstprzypisukocowego">
    <w:name w:val="endnote text"/>
    <w:basedOn w:val="Normalny"/>
    <w:link w:val="TekstprzypisukocowegoZnak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573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132573"/>
    <w:rPr>
      <w:vertAlign w:val="superscript"/>
    </w:rPr>
  </w:style>
  <w:style w:type="paragraph" w:customStyle="1" w:styleId="normaltableau">
    <w:name w:val="normal_tableau"/>
    <w:basedOn w:val="Normalny"/>
    <w:rsid w:val="00132573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132573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132573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132573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132573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semiHidden/>
    <w:rsid w:val="00132573"/>
    <w:rPr>
      <w:vertAlign w:val="superscript"/>
    </w:rPr>
  </w:style>
  <w:style w:type="character" w:styleId="Uwydatnienie">
    <w:name w:val="Emphasis"/>
    <w:qFormat/>
    <w:rsid w:val="00132573"/>
    <w:rPr>
      <w:i/>
      <w:iCs/>
    </w:rPr>
  </w:style>
  <w:style w:type="character" w:styleId="UyteHipercze">
    <w:name w:val="FollowedHyperlink"/>
    <w:semiHidden/>
    <w:unhideWhenUsed/>
    <w:rsid w:val="00132573"/>
    <w:rPr>
      <w:color w:val="800080"/>
      <w:u w:val="single"/>
    </w:rPr>
  </w:style>
  <w:style w:type="character" w:customStyle="1" w:styleId="al">
    <w:name w:val="al"/>
    <w:basedOn w:val="Domylnaczcionkaakapitu"/>
    <w:rsid w:val="00132573"/>
  </w:style>
  <w:style w:type="paragraph" w:styleId="Tekstpodstawowy3">
    <w:name w:val="Body Text 3"/>
    <w:basedOn w:val="Normalny"/>
    <w:link w:val="Tekstpodstawowy3Znak"/>
    <w:semiHidden/>
    <w:unhideWhenUsed/>
    <w:rsid w:val="00132573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2573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13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573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57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3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573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132573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32573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132573"/>
  </w:style>
  <w:style w:type="character" w:styleId="Pogrubienie">
    <w:name w:val="Strong"/>
    <w:qFormat/>
    <w:rsid w:val="00132573"/>
    <w:rPr>
      <w:b/>
      <w:bCs/>
    </w:rPr>
  </w:style>
  <w:style w:type="paragraph" w:styleId="Listapunktowana">
    <w:name w:val="List Bullet"/>
    <w:basedOn w:val="Normalny"/>
    <w:autoRedefine/>
    <w:semiHidden/>
    <w:rsid w:val="00132573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132573"/>
  </w:style>
  <w:style w:type="paragraph" w:customStyle="1" w:styleId="Tabelapozycja">
    <w:name w:val="Tabela pozycja"/>
    <w:basedOn w:val="Normalny"/>
    <w:rsid w:val="00132573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132573"/>
  </w:style>
  <w:style w:type="paragraph" w:customStyle="1" w:styleId="headline">
    <w:name w:val="headline"/>
    <w:basedOn w:val="Normalny"/>
    <w:rsid w:val="00132573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132573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132573"/>
  </w:style>
  <w:style w:type="character" w:customStyle="1" w:styleId="apple-style-span">
    <w:name w:val="apple-style-span"/>
    <w:basedOn w:val="Domylnaczcionkaakapitu"/>
    <w:rsid w:val="00132573"/>
  </w:style>
  <w:style w:type="character" w:customStyle="1" w:styleId="hps">
    <w:name w:val="hps"/>
    <w:basedOn w:val="Domylnaczcionkaakapitu"/>
    <w:rsid w:val="00132573"/>
  </w:style>
  <w:style w:type="paragraph" w:customStyle="1" w:styleId="Zawartotabeli">
    <w:name w:val="Zawartość tabeli"/>
    <w:basedOn w:val="Normalny"/>
    <w:rsid w:val="00132573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132573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132573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132573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132573"/>
  </w:style>
  <w:style w:type="character" w:customStyle="1" w:styleId="czeinternetowe">
    <w:name w:val="Łącze internetowe"/>
    <w:rsid w:val="00132573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132573"/>
  </w:style>
  <w:style w:type="paragraph" w:styleId="Poprawka">
    <w:name w:val="Revision"/>
    <w:hidden/>
    <w:uiPriority w:val="99"/>
    <w:semiHidden/>
    <w:rsid w:val="00132573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132573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32573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132573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13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  <w:style w:type="table" w:styleId="Tabela-Siatka">
    <w:name w:val="Table Grid"/>
    <w:basedOn w:val="Standardowy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32573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high_end_gpu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8724C-932F-488A-9489-6F49D201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10</Pages>
  <Words>2782</Words>
  <Characters>16696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Kamila Kowalska</cp:lastModifiedBy>
  <cp:revision>91</cp:revision>
  <cp:lastPrinted>2023-07-03T09:57:00Z</cp:lastPrinted>
  <dcterms:created xsi:type="dcterms:W3CDTF">2022-10-07T07:48:00Z</dcterms:created>
  <dcterms:modified xsi:type="dcterms:W3CDTF">2023-07-05T11:29:00Z</dcterms:modified>
</cp:coreProperties>
</file>