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0EAD" w14:textId="025ED86C" w:rsidR="00EE15B1" w:rsidRDefault="00EE15B1" w:rsidP="00A52D30">
      <w:pPr>
        <w:pStyle w:val="Default"/>
        <w:spacing w:before="120" w:after="120"/>
        <w:rPr>
          <w:rFonts w:eastAsia="Calibri"/>
          <w:color w:val="auto"/>
          <w:sz w:val="20"/>
          <w:szCs w:val="20"/>
        </w:rPr>
      </w:pPr>
      <w:r w:rsidRPr="00EE15B1">
        <w:rPr>
          <w:rFonts w:eastAsia="Calibri"/>
          <w:color w:val="auto"/>
          <w:sz w:val="20"/>
          <w:szCs w:val="20"/>
        </w:rPr>
        <w:t xml:space="preserve">Załącznik nr </w:t>
      </w:r>
      <w:r w:rsidR="009608A5">
        <w:rPr>
          <w:rFonts w:eastAsia="Calibri"/>
          <w:color w:val="auto"/>
          <w:sz w:val="20"/>
          <w:szCs w:val="20"/>
        </w:rPr>
        <w:t>2</w:t>
      </w:r>
      <w:r w:rsidRPr="00EE15B1">
        <w:rPr>
          <w:rFonts w:eastAsia="Calibri"/>
          <w:color w:val="auto"/>
          <w:sz w:val="20"/>
          <w:szCs w:val="20"/>
        </w:rPr>
        <w:t xml:space="preserve"> do SWZ</w:t>
      </w:r>
    </w:p>
    <w:p w14:paraId="3732CC50" w14:textId="582F1CC7" w:rsidR="00EE15B1" w:rsidRDefault="005B4532" w:rsidP="005B4532">
      <w:pPr>
        <w:pStyle w:val="Default"/>
        <w:tabs>
          <w:tab w:val="center" w:pos="5233"/>
          <w:tab w:val="left" w:pos="8582"/>
        </w:tabs>
        <w:spacing w:before="120" w:after="120"/>
        <w:rPr>
          <w:b/>
          <w:bCs/>
        </w:rPr>
      </w:pPr>
      <w:r>
        <w:rPr>
          <w:b/>
          <w:bCs/>
        </w:rPr>
        <w:tab/>
      </w:r>
      <w:r w:rsidR="00EE15B1" w:rsidRPr="00EE15B1">
        <w:rPr>
          <w:b/>
          <w:bCs/>
        </w:rPr>
        <w:t>OPIS PRZEDMIOTU ZAMÓWIENIA – zwany OPZ</w:t>
      </w:r>
      <w:r>
        <w:rPr>
          <w:b/>
          <w:bCs/>
        </w:rPr>
        <w:tab/>
      </w:r>
    </w:p>
    <w:p w14:paraId="26AA1AB6" w14:textId="77777777" w:rsidR="00CE1F7B" w:rsidRDefault="00CE1F7B" w:rsidP="008C57A9">
      <w:pPr>
        <w:pStyle w:val="Default"/>
        <w:spacing w:before="120" w:after="120"/>
        <w:rPr>
          <w:sz w:val="22"/>
          <w:szCs w:val="22"/>
        </w:rPr>
      </w:pPr>
    </w:p>
    <w:p w14:paraId="3A8910C1" w14:textId="151A227F" w:rsidR="00B26BD5" w:rsidRDefault="00B26BD5" w:rsidP="008C57A9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Warunki ogólne: </w:t>
      </w:r>
    </w:p>
    <w:p w14:paraId="375486D1" w14:textId="3F235939" w:rsidR="00B26BD5" w:rsidRDefault="595ACFD6" w:rsidP="00B26BD5">
      <w:pPr>
        <w:pStyle w:val="Default"/>
        <w:jc w:val="both"/>
        <w:rPr>
          <w:sz w:val="22"/>
          <w:szCs w:val="22"/>
        </w:rPr>
      </w:pPr>
      <w:r w:rsidRPr="470036C5">
        <w:rPr>
          <w:sz w:val="22"/>
          <w:szCs w:val="22"/>
        </w:rPr>
        <w:t xml:space="preserve">Przedmiotem zamówienia jest </w:t>
      </w:r>
      <w:r w:rsidR="000D2F6C" w:rsidRPr="000D2F6C">
        <w:rPr>
          <w:b/>
          <w:bCs/>
          <w:sz w:val="22"/>
          <w:szCs w:val="22"/>
        </w:rPr>
        <w:t>Zakup, dostawa</w:t>
      </w:r>
      <w:r w:rsidR="008A33EB">
        <w:rPr>
          <w:b/>
          <w:bCs/>
          <w:sz w:val="22"/>
          <w:szCs w:val="22"/>
        </w:rPr>
        <w:t xml:space="preserve"> materiałów </w:t>
      </w:r>
      <w:r w:rsidR="006713C5">
        <w:rPr>
          <w:b/>
          <w:bCs/>
          <w:sz w:val="22"/>
          <w:szCs w:val="22"/>
        </w:rPr>
        <w:t>hydraulicznych, sanitarnych</w:t>
      </w:r>
      <w:r w:rsidR="008A33EB">
        <w:rPr>
          <w:b/>
          <w:bCs/>
          <w:sz w:val="22"/>
          <w:szCs w:val="22"/>
        </w:rPr>
        <w:t xml:space="preserve"> dla</w:t>
      </w:r>
      <w:r w:rsidR="000D2F6C" w:rsidRPr="000D2F6C">
        <w:rPr>
          <w:b/>
          <w:bCs/>
          <w:sz w:val="22"/>
          <w:szCs w:val="22"/>
        </w:rPr>
        <w:t xml:space="preserve"> Politechniki Warszawskiej w Warszawie</w:t>
      </w:r>
      <w:r w:rsidR="008A33EB">
        <w:rPr>
          <w:b/>
          <w:bCs/>
          <w:sz w:val="22"/>
          <w:szCs w:val="22"/>
        </w:rPr>
        <w:t>.</w:t>
      </w:r>
      <w:r w:rsidR="0028375B" w:rsidRPr="0028375B">
        <w:rPr>
          <w:b/>
          <w:bCs/>
          <w:sz w:val="22"/>
          <w:szCs w:val="22"/>
        </w:rPr>
        <w:t xml:space="preserve"> </w:t>
      </w:r>
    </w:p>
    <w:p w14:paraId="682F393A" w14:textId="77777777" w:rsidR="003C0EE1" w:rsidRDefault="00B26BD5" w:rsidP="001B0F31">
      <w:pPr>
        <w:pStyle w:val="Default"/>
        <w:numPr>
          <w:ilvl w:val="0"/>
          <w:numId w:val="3"/>
        </w:numPr>
        <w:spacing w:before="140" w:after="1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obejmuje</w:t>
      </w:r>
      <w:r w:rsidR="003C0EE1">
        <w:rPr>
          <w:sz w:val="22"/>
          <w:szCs w:val="22"/>
        </w:rPr>
        <w:t>:</w:t>
      </w:r>
    </w:p>
    <w:p w14:paraId="560CBE6C" w14:textId="79AF09E0" w:rsidR="00076213" w:rsidRPr="00076213" w:rsidRDefault="595ACFD6" w:rsidP="00A777C5">
      <w:pPr>
        <w:pStyle w:val="Default"/>
        <w:numPr>
          <w:ilvl w:val="1"/>
          <w:numId w:val="3"/>
        </w:numPr>
        <w:spacing w:before="140" w:after="140"/>
        <w:jc w:val="both"/>
        <w:rPr>
          <w:sz w:val="22"/>
          <w:szCs w:val="22"/>
        </w:rPr>
      </w:pPr>
      <w:r w:rsidRPr="470036C5">
        <w:rPr>
          <w:sz w:val="22"/>
          <w:szCs w:val="22"/>
        </w:rPr>
        <w:t xml:space="preserve"> </w:t>
      </w:r>
      <w:r w:rsidR="5A046863" w:rsidRPr="470036C5">
        <w:rPr>
          <w:sz w:val="22"/>
          <w:szCs w:val="22"/>
        </w:rPr>
        <w:t>Z</w:t>
      </w:r>
      <w:r w:rsidRPr="470036C5">
        <w:rPr>
          <w:sz w:val="22"/>
          <w:szCs w:val="22"/>
        </w:rPr>
        <w:t>akup, dostawę, wyładowanie, wniesienie</w:t>
      </w:r>
      <w:r w:rsidR="008A33EB">
        <w:rPr>
          <w:sz w:val="22"/>
          <w:szCs w:val="22"/>
        </w:rPr>
        <w:t xml:space="preserve"> materiałów </w:t>
      </w:r>
      <w:r w:rsidR="00B379CA">
        <w:rPr>
          <w:sz w:val="22"/>
          <w:szCs w:val="22"/>
        </w:rPr>
        <w:t>hydraulicznych, sanitarnych</w:t>
      </w:r>
      <w:r w:rsidR="00F60657">
        <w:rPr>
          <w:sz w:val="22"/>
          <w:szCs w:val="22"/>
        </w:rPr>
        <w:t xml:space="preserve"> do magazynu</w:t>
      </w:r>
      <w:r w:rsidR="00ED0439" w:rsidRPr="00314897">
        <w:rPr>
          <w:color w:val="auto"/>
          <w:sz w:val="22"/>
          <w:szCs w:val="22"/>
        </w:rPr>
        <w:t>.</w:t>
      </w:r>
      <w:r w:rsidR="00523CD1" w:rsidRPr="00314897">
        <w:rPr>
          <w:color w:val="auto"/>
          <w:sz w:val="22"/>
          <w:szCs w:val="22"/>
        </w:rPr>
        <w:t xml:space="preserve"> </w:t>
      </w:r>
    </w:p>
    <w:p w14:paraId="5B6FDF89" w14:textId="599108FD" w:rsidR="00B26BD5" w:rsidRDefault="00B26BD5" w:rsidP="001B0F31">
      <w:pPr>
        <w:pStyle w:val="Default"/>
        <w:numPr>
          <w:ilvl w:val="0"/>
          <w:numId w:val="3"/>
        </w:numPr>
        <w:spacing w:before="140" w:after="1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Lista lokalizacji </w:t>
      </w:r>
      <w:r w:rsidR="00A221F4">
        <w:rPr>
          <w:sz w:val="22"/>
          <w:szCs w:val="22"/>
        </w:rPr>
        <w:t>magazynów</w:t>
      </w:r>
      <w:r w:rsidR="004C06B0">
        <w:rPr>
          <w:sz w:val="22"/>
          <w:szCs w:val="22"/>
        </w:rPr>
        <w:t xml:space="preserve"> </w:t>
      </w:r>
      <w:r w:rsidR="00EE13DC">
        <w:rPr>
          <w:sz w:val="22"/>
          <w:szCs w:val="22"/>
        </w:rPr>
        <w:t>–</w:t>
      </w:r>
      <w:r w:rsidR="004C06B0">
        <w:rPr>
          <w:sz w:val="22"/>
          <w:szCs w:val="22"/>
        </w:rPr>
        <w:t xml:space="preserve"> </w:t>
      </w:r>
      <w:r>
        <w:rPr>
          <w:sz w:val="22"/>
          <w:szCs w:val="22"/>
        </w:rPr>
        <w:t>miejsc</w:t>
      </w:r>
      <w:r w:rsidR="00A221F4">
        <w:rPr>
          <w:sz w:val="22"/>
          <w:szCs w:val="22"/>
        </w:rPr>
        <w:t>e</w:t>
      </w:r>
      <w:r>
        <w:rPr>
          <w:sz w:val="22"/>
          <w:szCs w:val="22"/>
        </w:rPr>
        <w:t xml:space="preserve"> dostawy:</w:t>
      </w:r>
    </w:p>
    <w:p w14:paraId="2C12BF15" w14:textId="77777777" w:rsidR="00CE1F7B" w:rsidRDefault="00CE1F7B" w:rsidP="00CE1F7B">
      <w:pPr>
        <w:pStyle w:val="Default"/>
        <w:spacing w:before="140" w:after="140"/>
        <w:ind w:left="426"/>
        <w:jc w:val="both"/>
        <w:rPr>
          <w:sz w:val="22"/>
          <w:szCs w:val="22"/>
        </w:rPr>
      </w:pPr>
    </w:p>
    <w:p w14:paraId="3F2B8EB5" w14:textId="77777777" w:rsidR="00CE1F7B" w:rsidRDefault="00CE1F7B" w:rsidP="00CE1F7B">
      <w:pPr>
        <w:pStyle w:val="Default"/>
        <w:spacing w:before="140" w:after="140"/>
        <w:jc w:val="both"/>
        <w:rPr>
          <w:sz w:val="22"/>
          <w:szCs w:val="22"/>
        </w:rPr>
      </w:pPr>
    </w:p>
    <w:tbl>
      <w:tblPr>
        <w:tblStyle w:val="Tabela-Siatka"/>
        <w:tblW w:w="6630" w:type="dxa"/>
        <w:jc w:val="center"/>
        <w:tblLook w:val="04A0" w:firstRow="1" w:lastRow="0" w:firstColumn="1" w:lastColumn="0" w:noHBand="0" w:noVBand="1"/>
      </w:tblPr>
      <w:tblGrid>
        <w:gridCol w:w="705"/>
        <w:gridCol w:w="3315"/>
        <w:gridCol w:w="2610"/>
      </w:tblGrid>
      <w:tr w:rsidR="00A221F4" w14:paraId="400EBDD8" w14:textId="0CBFF550" w:rsidTr="00A221F4">
        <w:trPr>
          <w:trHeight w:val="840"/>
          <w:jc w:val="center"/>
        </w:trPr>
        <w:tc>
          <w:tcPr>
            <w:tcW w:w="705" w:type="dxa"/>
            <w:vAlign w:val="center"/>
          </w:tcPr>
          <w:p w14:paraId="6DDF8068" w14:textId="2C289F68" w:rsidR="00A221F4" w:rsidRDefault="00A221F4" w:rsidP="00F208A5">
            <w:pPr>
              <w:pStyle w:val="Default"/>
              <w:jc w:val="center"/>
              <w:rPr>
                <w:sz w:val="22"/>
                <w:szCs w:val="22"/>
              </w:rPr>
            </w:pPr>
            <w:r w:rsidRPr="470036C5">
              <w:rPr>
                <w:sz w:val="22"/>
                <w:szCs w:val="22"/>
              </w:rPr>
              <w:t>Lp.</w:t>
            </w:r>
          </w:p>
        </w:tc>
        <w:tc>
          <w:tcPr>
            <w:tcW w:w="3315" w:type="dxa"/>
            <w:vAlign w:val="center"/>
          </w:tcPr>
          <w:p w14:paraId="324DF65D" w14:textId="77777777" w:rsidR="00A221F4" w:rsidRDefault="00A221F4" w:rsidP="00F208A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Gmachu</w:t>
            </w:r>
          </w:p>
        </w:tc>
        <w:tc>
          <w:tcPr>
            <w:tcW w:w="2610" w:type="dxa"/>
            <w:vAlign w:val="center"/>
          </w:tcPr>
          <w:p w14:paraId="73F12CDE" w14:textId="77777777" w:rsidR="00A221F4" w:rsidRDefault="00A221F4" w:rsidP="00F208A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Lokalizacja</w:t>
            </w:r>
          </w:p>
        </w:tc>
      </w:tr>
      <w:tr w:rsidR="00A221F4" w14:paraId="3E3C1626" w14:textId="6B5B8C28" w:rsidTr="00F60657">
        <w:trPr>
          <w:jc w:val="center"/>
        </w:trPr>
        <w:tc>
          <w:tcPr>
            <w:tcW w:w="705" w:type="dxa"/>
            <w:vAlign w:val="center"/>
          </w:tcPr>
          <w:p w14:paraId="1095EFEC" w14:textId="77777777" w:rsidR="00A221F4" w:rsidRDefault="00A221F4" w:rsidP="00F606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315" w:type="dxa"/>
            <w:vAlign w:val="center"/>
          </w:tcPr>
          <w:p w14:paraId="6321EC27" w14:textId="44A4972B" w:rsidR="00A221F4" w:rsidRDefault="00A221F4" w:rsidP="003D43F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</w:t>
            </w:r>
          </w:p>
        </w:tc>
        <w:tc>
          <w:tcPr>
            <w:tcW w:w="2610" w:type="dxa"/>
            <w:vAlign w:val="center"/>
          </w:tcPr>
          <w:p w14:paraId="31A33777" w14:textId="77777777" w:rsidR="00A221F4" w:rsidRDefault="00A221F4" w:rsidP="00A221F4">
            <w:pPr>
              <w:pStyle w:val="Default"/>
              <w:jc w:val="both"/>
              <w:rPr>
                <w:sz w:val="22"/>
                <w:szCs w:val="22"/>
              </w:rPr>
            </w:pPr>
            <w:r w:rsidRPr="470036C5">
              <w:rPr>
                <w:sz w:val="22"/>
                <w:szCs w:val="22"/>
              </w:rPr>
              <w:t xml:space="preserve">ul. Noakowskiego </w:t>
            </w:r>
            <w:r>
              <w:rPr>
                <w:sz w:val="22"/>
                <w:szCs w:val="22"/>
              </w:rPr>
              <w:t>18/20</w:t>
            </w:r>
            <w:r w:rsidRPr="470036C5">
              <w:rPr>
                <w:sz w:val="22"/>
                <w:szCs w:val="22"/>
              </w:rPr>
              <w:t xml:space="preserve">, </w:t>
            </w:r>
          </w:p>
          <w:p w14:paraId="276D6F95" w14:textId="5D9396F6" w:rsidR="00A221F4" w:rsidRDefault="00A221F4" w:rsidP="00A221F4">
            <w:pPr>
              <w:pStyle w:val="Default"/>
              <w:jc w:val="both"/>
              <w:rPr>
                <w:sz w:val="22"/>
                <w:szCs w:val="22"/>
              </w:rPr>
            </w:pPr>
            <w:r w:rsidRPr="470036C5">
              <w:rPr>
                <w:sz w:val="22"/>
                <w:szCs w:val="22"/>
              </w:rPr>
              <w:t>00-664 Warszawa</w:t>
            </w:r>
          </w:p>
        </w:tc>
      </w:tr>
    </w:tbl>
    <w:p w14:paraId="1CBB53F8" w14:textId="77777777" w:rsidR="00CE1F7B" w:rsidRDefault="00CE1F7B" w:rsidP="00CE1F7B">
      <w:pPr>
        <w:pStyle w:val="Default"/>
        <w:keepNext/>
        <w:spacing w:before="140" w:after="120"/>
        <w:ind w:left="425"/>
        <w:jc w:val="both"/>
        <w:rPr>
          <w:sz w:val="22"/>
          <w:szCs w:val="22"/>
        </w:rPr>
      </w:pPr>
    </w:p>
    <w:p w14:paraId="4080DE6A" w14:textId="77777777" w:rsidR="00CE1F7B" w:rsidRDefault="00CE1F7B" w:rsidP="00CE1F7B">
      <w:pPr>
        <w:pStyle w:val="Default"/>
        <w:keepNext/>
        <w:spacing w:before="140" w:after="120"/>
        <w:ind w:left="425"/>
        <w:jc w:val="both"/>
        <w:rPr>
          <w:sz w:val="22"/>
          <w:szCs w:val="22"/>
        </w:rPr>
      </w:pPr>
    </w:p>
    <w:p w14:paraId="30207D13" w14:textId="6639550E" w:rsidR="0058533D" w:rsidRPr="000759FB" w:rsidRDefault="00EE13DC" w:rsidP="009706D8">
      <w:pPr>
        <w:pStyle w:val="Default"/>
        <w:keepNext/>
        <w:numPr>
          <w:ilvl w:val="0"/>
          <w:numId w:val="3"/>
        </w:numPr>
        <w:spacing w:before="140" w:after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 </w:t>
      </w:r>
      <w:r w:rsidR="002855F8">
        <w:rPr>
          <w:sz w:val="22"/>
          <w:szCs w:val="22"/>
        </w:rPr>
        <w:t>elektryczne</w:t>
      </w:r>
      <w:r>
        <w:rPr>
          <w:sz w:val="22"/>
          <w:szCs w:val="22"/>
        </w:rPr>
        <w:t xml:space="preserve"> powinny</w:t>
      </w:r>
      <w:r w:rsidR="002855F8">
        <w:rPr>
          <w:sz w:val="22"/>
          <w:szCs w:val="22"/>
        </w:rPr>
        <w:t xml:space="preserve"> </w:t>
      </w:r>
      <w:r>
        <w:rPr>
          <w:sz w:val="22"/>
          <w:szCs w:val="22"/>
        </w:rPr>
        <w:t>muszą spełniać poniższe warunki:</w:t>
      </w:r>
    </w:p>
    <w:p w14:paraId="6FC01634" w14:textId="77777777" w:rsidR="00080C25" w:rsidRDefault="008063D3" w:rsidP="00080C25">
      <w:pPr>
        <w:pStyle w:val="Default"/>
        <w:numPr>
          <w:ilvl w:val="1"/>
          <w:numId w:val="3"/>
        </w:numPr>
        <w:ind w:left="980" w:hanging="561"/>
        <w:jc w:val="both"/>
        <w:rPr>
          <w:sz w:val="22"/>
          <w:szCs w:val="22"/>
        </w:rPr>
      </w:pPr>
      <w:r w:rsidRPr="00080C25">
        <w:rPr>
          <w:rFonts w:cstheme="minorHAnsi"/>
          <w:sz w:val="22"/>
          <w:szCs w:val="22"/>
        </w:rPr>
        <w:t>m</w:t>
      </w:r>
      <w:r w:rsidR="00105C92" w:rsidRPr="00080C25">
        <w:rPr>
          <w:rFonts w:cstheme="minorHAnsi"/>
          <w:sz w:val="22"/>
          <w:szCs w:val="22"/>
        </w:rPr>
        <w:t>uszą być</w:t>
      </w:r>
      <w:r w:rsidR="00CD13D9" w:rsidRPr="00080C25">
        <w:rPr>
          <w:rFonts w:cstheme="minorHAnsi"/>
          <w:sz w:val="22"/>
          <w:szCs w:val="22"/>
        </w:rPr>
        <w:t xml:space="preserve"> </w:t>
      </w:r>
      <w:r w:rsidR="00105C92" w:rsidRPr="00080C25">
        <w:rPr>
          <w:rFonts w:cstheme="minorHAnsi"/>
          <w:sz w:val="22"/>
          <w:szCs w:val="22"/>
        </w:rPr>
        <w:t>z</w:t>
      </w:r>
      <w:r w:rsidR="00CD13D9" w:rsidRPr="00080C25">
        <w:rPr>
          <w:rFonts w:cstheme="minorHAnsi"/>
          <w:sz w:val="22"/>
          <w:szCs w:val="22"/>
        </w:rPr>
        <w:t xml:space="preserve">godne ze specyfikacją </w:t>
      </w:r>
      <w:r w:rsidR="00105C92" w:rsidRPr="00080C25">
        <w:rPr>
          <w:rFonts w:cstheme="minorHAnsi"/>
          <w:sz w:val="22"/>
          <w:szCs w:val="22"/>
        </w:rPr>
        <w:t>asortymentową –</w:t>
      </w:r>
      <w:r w:rsidR="00080C25">
        <w:rPr>
          <w:rFonts w:cstheme="minorHAnsi"/>
          <w:sz w:val="22"/>
          <w:szCs w:val="22"/>
        </w:rPr>
        <w:t xml:space="preserve"> Formularz asortymentowo - cenowy</w:t>
      </w:r>
      <w:r w:rsidR="00105C92" w:rsidRPr="00080C25">
        <w:rPr>
          <w:rFonts w:cstheme="minorHAnsi"/>
          <w:sz w:val="22"/>
          <w:szCs w:val="22"/>
        </w:rPr>
        <w:t xml:space="preserve"> </w:t>
      </w:r>
      <w:r w:rsidR="00080C25" w:rsidRPr="00080C25">
        <w:rPr>
          <w:rFonts w:cstheme="minorHAnsi"/>
          <w:sz w:val="22"/>
          <w:szCs w:val="22"/>
        </w:rPr>
        <w:t>(Załącznik nr 2A do SWZ)</w:t>
      </w:r>
    </w:p>
    <w:p w14:paraId="2B23EFC7" w14:textId="1510C537" w:rsidR="009F2AAE" w:rsidRPr="00080C25" w:rsidRDefault="009F2AAE" w:rsidP="00080C25">
      <w:pPr>
        <w:pStyle w:val="Default"/>
        <w:numPr>
          <w:ilvl w:val="1"/>
          <w:numId w:val="3"/>
        </w:numPr>
        <w:ind w:left="980" w:hanging="561"/>
        <w:jc w:val="both"/>
        <w:rPr>
          <w:sz w:val="22"/>
          <w:szCs w:val="22"/>
        </w:rPr>
      </w:pPr>
      <w:r w:rsidRPr="00080C25">
        <w:rPr>
          <w:rFonts w:cstheme="minorHAnsi"/>
          <w:sz w:val="22"/>
          <w:szCs w:val="22"/>
        </w:rPr>
        <w:t xml:space="preserve">muszą posiadać niezbędne certyfikaty i atesty </w:t>
      </w:r>
      <w:r w:rsidR="00A52D30">
        <w:rPr>
          <w:rFonts w:cstheme="minorHAnsi"/>
          <w:sz w:val="22"/>
          <w:szCs w:val="22"/>
        </w:rPr>
        <w:t>wymienione w</w:t>
      </w:r>
      <w:r w:rsidRPr="00080C25">
        <w:rPr>
          <w:rFonts w:cstheme="minorHAnsi"/>
          <w:sz w:val="22"/>
          <w:szCs w:val="22"/>
        </w:rPr>
        <w:t xml:space="preserve"> </w:t>
      </w:r>
      <w:r w:rsidR="00080C25" w:rsidRPr="00080C25">
        <w:rPr>
          <w:rFonts w:cstheme="minorHAnsi"/>
          <w:sz w:val="22"/>
          <w:szCs w:val="22"/>
        </w:rPr>
        <w:t>Formularz</w:t>
      </w:r>
      <w:r w:rsidR="00A52D30">
        <w:rPr>
          <w:rFonts w:cstheme="minorHAnsi"/>
          <w:sz w:val="22"/>
          <w:szCs w:val="22"/>
        </w:rPr>
        <w:t>u</w:t>
      </w:r>
      <w:r w:rsidR="00080C25" w:rsidRPr="00080C25">
        <w:rPr>
          <w:rFonts w:cstheme="minorHAnsi"/>
          <w:sz w:val="22"/>
          <w:szCs w:val="22"/>
        </w:rPr>
        <w:t xml:space="preserve"> asortymentowo - cenowy (Załącznik nr 2A do SWZ)</w:t>
      </w:r>
    </w:p>
    <w:p w14:paraId="6FC772B6" w14:textId="0515C735" w:rsidR="00584533" w:rsidRPr="00CD13D9" w:rsidRDefault="00CD13D9" w:rsidP="00CD13D9">
      <w:pPr>
        <w:pStyle w:val="Default"/>
        <w:numPr>
          <w:ilvl w:val="1"/>
          <w:numId w:val="3"/>
        </w:numPr>
        <w:ind w:left="993" w:hanging="573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muszą być nowe,</w:t>
      </w:r>
    </w:p>
    <w:p w14:paraId="3A60669A" w14:textId="42103EE3" w:rsidR="00F5445F" w:rsidRPr="00CD13D9" w:rsidRDefault="008C5C04" w:rsidP="00CD13D9">
      <w:pPr>
        <w:pStyle w:val="Default"/>
        <w:numPr>
          <w:ilvl w:val="1"/>
          <w:numId w:val="3"/>
        </w:numPr>
        <w:ind w:left="993" w:hanging="573"/>
        <w:jc w:val="both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posiadają </w:t>
      </w:r>
      <w:r w:rsidR="1C8F7393" w:rsidRPr="00CD13D9">
        <w:rPr>
          <w:rFonts w:cstheme="minorBidi"/>
          <w:sz w:val="22"/>
          <w:szCs w:val="22"/>
        </w:rPr>
        <w:t>gwarancj</w:t>
      </w:r>
      <w:r>
        <w:rPr>
          <w:rFonts w:cstheme="minorBidi"/>
          <w:sz w:val="22"/>
          <w:szCs w:val="22"/>
        </w:rPr>
        <w:t>e</w:t>
      </w:r>
      <w:r w:rsidR="1C8F7393" w:rsidRPr="00CD13D9">
        <w:rPr>
          <w:rFonts w:cstheme="minorBidi"/>
          <w:sz w:val="22"/>
          <w:szCs w:val="22"/>
        </w:rPr>
        <w:t xml:space="preserve"> </w:t>
      </w:r>
      <w:r w:rsidR="00EE15B1" w:rsidRPr="00CD13D9">
        <w:rPr>
          <w:rFonts w:cstheme="minorBidi"/>
          <w:color w:val="auto"/>
          <w:sz w:val="22"/>
          <w:szCs w:val="22"/>
        </w:rPr>
        <w:t xml:space="preserve">na produkt </w:t>
      </w:r>
      <w:r w:rsidR="1C8F7393" w:rsidRPr="00CD13D9">
        <w:rPr>
          <w:rFonts w:cstheme="minorBidi"/>
          <w:sz w:val="22"/>
          <w:szCs w:val="22"/>
        </w:rPr>
        <w:t xml:space="preserve">min. </w:t>
      </w:r>
      <w:r w:rsidR="00EE13DC" w:rsidRPr="00CD13D9">
        <w:rPr>
          <w:rFonts w:cstheme="minorBidi"/>
          <w:sz w:val="22"/>
          <w:szCs w:val="22"/>
        </w:rPr>
        <w:t>12</w:t>
      </w:r>
      <w:r w:rsidR="1C8F7393" w:rsidRPr="00CD13D9">
        <w:rPr>
          <w:rFonts w:cstheme="minorBidi"/>
          <w:sz w:val="22"/>
          <w:szCs w:val="22"/>
        </w:rPr>
        <w:t xml:space="preserve"> miesięcy</w:t>
      </w:r>
      <w:bookmarkStart w:id="0" w:name="_Hlk76459014"/>
      <w:r w:rsidR="00314897" w:rsidRPr="00CD13D9">
        <w:rPr>
          <w:rFonts w:cstheme="minorBidi"/>
          <w:sz w:val="22"/>
          <w:szCs w:val="22"/>
        </w:rPr>
        <w:t>,</w:t>
      </w:r>
    </w:p>
    <w:bookmarkEnd w:id="0"/>
    <w:p w14:paraId="4F813BF7" w14:textId="28E54C1E" w:rsidR="001B5753" w:rsidRDefault="001B5753" w:rsidP="001B5753">
      <w:pPr>
        <w:pStyle w:val="Default"/>
        <w:numPr>
          <w:ilvl w:val="0"/>
          <w:numId w:val="3"/>
        </w:numPr>
        <w:ind w:hanging="357"/>
        <w:jc w:val="both"/>
        <w:rPr>
          <w:rFonts w:cstheme="minorHAnsi"/>
          <w:sz w:val="22"/>
          <w:szCs w:val="22"/>
        </w:rPr>
      </w:pPr>
      <w:r w:rsidRPr="00EE15B1">
        <w:rPr>
          <w:rFonts w:cstheme="minorHAnsi"/>
          <w:sz w:val="22"/>
          <w:szCs w:val="22"/>
        </w:rPr>
        <w:t xml:space="preserve">Termin realizacji </w:t>
      </w:r>
      <w:r w:rsidRPr="00EE15B1">
        <w:rPr>
          <w:rFonts w:cstheme="minorHAnsi"/>
          <w:color w:val="auto"/>
          <w:sz w:val="22"/>
          <w:szCs w:val="22"/>
        </w:rPr>
        <w:t>wynosi</w:t>
      </w:r>
      <w:r>
        <w:rPr>
          <w:rFonts w:cstheme="minorHAnsi"/>
          <w:color w:val="auto"/>
          <w:sz w:val="22"/>
          <w:szCs w:val="22"/>
        </w:rPr>
        <w:t xml:space="preserve"> od daty zgłoszenia zapotrzebowania przez zamawiającego</w:t>
      </w:r>
      <w:r w:rsidRPr="00EE15B1">
        <w:rPr>
          <w:rFonts w:cstheme="minorHAnsi"/>
          <w:color w:val="auto"/>
          <w:sz w:val="22"/>
          <w:szCs w:val="22"/>
        </w:rPr>
        <w:t xml:space="preserve"> </w:t>
      </w:r>
      <w:r w:rsidRPr="00EE15B1">
        <w:rPr>
          <w:rFonts w:cstheme="minorHAnsi"/>
          <w:b/>
          <w:color w:val="auto"/>
          <w:sz w:val="22"/>
          <w:szCs w:val="22"/>
        </w:rPr>
        <w:t xml:space="preserve">maksymalnie </w:t>
      </w:r>
      <w:r w:rsidR="00080C25">
        <w:rPr>
          <w:rFonts w:cstheme="minorHAnsi"/>
          <w:b/>
          <w:color w:val="auto"/>
          <w:sz w:val="22"/>
          <w:szCs w:val="22"/>
        </w:rPr>
        <w:t>10</w:t>
      </w:r>
      <w:r w:rsidRPr="00EE15B1">
        <w:rPr>
          <w:rFonts w:cstheme="minorHAnsi"/>
          <w:b/>
          <w:color w:val="auto"/>
          <w:sz w:val="22"/>
          <w:szCs w:val="22"/>
        </w:rPr>
        <w:t xml:space="preserve"> dni roboczych</w:t>
      </w:r>
      <w:r w:rsidRPr="00EE15B1">
        <w:rPr>
          <w:rFonts w:cstheme="minorHAnsi"/>
          <w:sz w:val="22"/>
          <w:szCs w:val="22"/>
        </w:rPr>
        <w:t>. Za dni robocze Zamawiający przyjmuje dni tygodnia od poniedziałku do piątku</w:t>
      </w:r>
      <w:r w:rsidR="007A6C8D">
        <w:rPr>
          <w:rFonts w:cstheme="minorHAnsi"/>
          <w:sz w:val="22"/>
          <w:szCs w:val="22"/>
        </w:rPr>
        <w:t xml:space="preserve"> w godzinach 8-14</w:t>
      </w:r>
      <w:r w:rsidRPr="00EE15B1">
        <w:rPr>
          <w:rFonts w:cstheme="minorHAnsi"/>
          <w:sz w:val="22"/>
          <w:szCs w:val="22"/>
        </w:rPr>
        <w:t xml:space="preserve"> z wyłączeniem: </w:t>
      </w:r>
    </w:p>
    <w:p w14:paraId="70B965C4" w14:textId="77777777" w:rsidR="00EE15B1" w:rsidRDefault="00EE15B1" w:rsidP="00EE15B1">
      <w:pPr>
        <w:pStyle w:val="Default"/>
        <w:numPr>
          <w:ilvl w:val="0"/>
          <w:numId w:val="12"/>
        </w:numPr>
        <w:ind w:hanging="357"/>
        <w:jc w:val="both"/>
        <w:rPr>
          <w:rFonts w:cstheme="minorHAnsi"/>
          <w:sz w:val="22"/>
          <w:szCs w:val="22"/>
        </w:rPr>
      </w:pPr>
      <w:r w:rsidRPr="00EE15B1">
        <w:rPr>
          <w:rFonts w:cstheme="minorHAnsi"/>
          <w:sz w:val="22"/>
          <w:szCs w:val="22"/>
        </w:rPr>
        <w:t>sobót, niedziel,</w:t>
      </w:r>
    </w:p>
    <w:p w14:paraId="55AA136B" w14:textId="77777777" w:rsidR="00EE15B1" w:rsidRDefault="00EE15B1" w:rsidP="00EE15B1">
      <w:pPr>
        <w:pStyle w:val="Default"/>
        <w:numPr>
          <w:ilvl w:val="0"/>
          <w:numId w:val="12"/>
        </w:numPr>
        <w:ind w:hanging="357"/>
        <w:jc w:val="both"/>
        <w:rPr>
          <w:rFonts w:cstheme="minorHAnsi"/>
          <w:sz w:val="22"/>
          <w:szCs w:val="22"/>
        </w:rPr>
      </w:pPr>
      <w:r w:rsidRPr="00EE15B1">
        <w:rPr>
          <w:rFonts w:cstheme="minorHAnsi"/>
          <w:sz w:val="22"/>
          <w:szCs w:val="22"/>
        </w:rPr>
        <w:t>dni świątecznych przypadających w okresie poniedziałek – piątek</w:t>
      </w:r>
    </w:p>
    <w:p w14:paraId="259A350E" w14:textId="07EF2843" w:rsidR="00B26BD5" w:rsidRPr="00EE15B1" w:rsidRDefault="595ACFD6" w:rsidP="00EE15B1">
      <w:pPr>
        <w:pStyle w:val="Default"/>
        <w:numPr>
          <w:ilvl w:val="0"/>
          <w:numId w:val="3"/>
        </w:numPr>
        <w:spacing w:before="140" w:after="140"/>
        <w:jc w:val="both"/>
        <w:rPr>
          <w:sz w:val="22"/>
          <w:szCs w:val="22"/>
        </w:rPr>
      </w:pPr>
      <w:r w:rsidRPr="00EE15B1">
        <w:rPr>
          <w:sz w:val="22"/>
          <w:szCs w:val="22"/>
        </w:rPr>
        <w:t xml:space="preserve">Wykonawca zobowiązany jest </w:t>
      </w:r>
      <w:r w:rsidR="0ACEDB3E" w:rsidRPr="00EE15B1">
        <w:rPr>
          <w:sz w:val="22"/>
          <w:szCs w:val="22"/>
        </w:rPr>
        <w:t xml:space="preserve">podać </w:t>
      </w:r>
      <w:r w:rsidRPr="00EE15B1">
        <w:rPr>
          <w:sz w:val="22"/>
          <w:szCs w:val="22"/>
        </w:rPr>
        <w:t>w Ofer</w:t>
      </w:r>
      <w:r w:rsidR="0ACEDB3E" w:rsidRPr="00EE15B1">
        <w:rPr>
          <w:sz w:val="22"/>
          <w:szCs w:val="22"/>
        </w:rPr>
        <w:t>cie</w:t>
      </w:r>
      <w:r w:rsidRPr="00EE15B1">
        <w:rPr>
          <w:sz w:val="22"/>
          <w:szCs w:val="22"/>
        </w:rPr>
        <w:t xml:space="preserve"> dla każdego produktu nazwę producenta/znak towarowy, nazwę handlową oraz typ/model/wersję oraz numer katalogowy (jeśli występują). </w:t>
      </w:r>
    </w:p>
    <w:p w14:paraId="27F23354" w14:textId="20440900" w:rsidR="00B26BD5" w:rsidRDefault="00B26BD5" w:rsidP="00F422B7">
      <w:pPr>
        <w:pStyle w:val="Default"/>
        <w:numPr>
          <w:ilvl w:val="0"/>
          <w:numId w:val="3"/>
        </w:numPr>
        <w:spacing w:before="140" w:after="1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wymaga, aby oferowane </w:t>
      </w:r>
      <w:r w:rsidR="00CD13D9">
        <w:rPr>
          <w:sz w:val="22"/>
          <w:szCs w:val="22"/>
        </w:rPr>
        <w:t>materiały</w:t>
      </w:r>
      <w:r>
        <w:rPr>
          <w:sz w:val="22"/>
          <w:szCs w:val="22"/>
        </w:rPr>
        <w:t xml:space="preserve"> był</w:t>
      </w:r>
      <w:r w:rsidR="00CD13D9">
        <w:rPr>
          <w:sz w:val="22"/>
          <w:szCs w:val="22"/>
        </w:rPr>
        <w:t>y</w:t>
      </w:r>
      <w:r>
        <w:rPr>
          <w:sz w:val="22"/>
          <w:szCs w:val="22"/>
        </w:rPr>
        <w:t xml:space="preserve"> fabrycznie nowe, pozbawione wad fabrycznych, konstrukcyjnych, materiałowych,</w:t>
      </w:r>
      <w:r w:rsidR="00657AEE">
        <w:rPr>
          <w:sz w:val="22"/>
          <w:szCs w:val="22"/>
        </w:rPr>
        <w:t xml:space="preserve"> </w:t>
      </w:r>
      <w:r>
        <w:rPr>
          <w:sz w:val="22"/>
          <w:szCs w:val="22"/>
        </w:rPr>
        <w:t>oryginalne, pochodzące z</w:t>
      </w:r>
      <w:r w:rsidR="0044627E">
        <w:rPr>
          <w:sz w:val="22"/>
          <w:szCs w:val="22"/>
        </w:rPr>
        <w:t> </w:t>
      </w:r>
      <w:r>
        <w:rPr>
          <w:sz w:val="22"/>
          <w:szCs w:val="22"/>
        </w:rPr>
        <w:t>bieżącej produkcji oraz spełniające</w:t>
      </w:r>
      <w:r w:rsidR="00657AEE">
        <w:rPr>
          <w:sz w:val="22"/>
          <w:szCs w:val="22"/>
        </w:rPr>
        <w:t xml:space="preserve"> krajowe i</w:t>
      </w:r>
      <w:r>
        <w:rPr>
          <w:sz w:val="22"/>
          <w:szCs w:val="22"/>
        </w:rPr>
        <w:t xml:space="preserve"> europejskie wymogi w zakresie </w:t>
      </w:r>
      <w:r w:rsidR="00657AEE">
        <w:rPr>
          <w:sz w:val="22"/>
          <w:szCs w:val="22"/>
        </w:rPr>
        <w:t>norm i atestów</w:t>
      </w:r>
      <w:r>
        <w:rPr>
          <w:sz w:val="22"/>
          <w:szCs w:val="22"/>
        </w:rPr>
        <w:t xml:space="preserve">, gotowe do użytkowania zgodnego z jego przeznaczeniem. </w:t>
      </w:r>
    </w:p>
    <w:p w14:paraId="69D867A4" w14:textId="6F97D572" w:rsidR="00657AEE" w:rsidRPr="00657AEE" w:rsidRDefault="00657AEE" w:rsidP="00657AEE">
      <w:pPr>
        <w:pStyle w:val="Default"/>
        <w:numPr>
          <w:ilvl w:val="0"/>
          <w:numId w:val="3"/>
        </w:numPr>
        <w:spacing w:before="140" w:after="1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wymaga, aby produkt, w odniesieniu do którego przepisy prawa nakładają obowiązek posiadania certyfikatu zgodności CE, posiadały tenże certyfikat. </w:t>
      </w:r>
      <w:r w:rsidR="008063D3">
        <w:rPr>
          <w:sz w:val="22"/>
          <w:szCs w:val="22"/>
        </w:rPr>
        <w:t>Produkt powinien posiadać Atest Państwowego Zakładu Higieny (PZH), Deklaracje właściwości użytkowych, Ocenę Techniczną Instytutu Techniki Budowlanej (ITB) – jeśli takowe są przewidziane dla danego produktu.</w:t>
      </w:r>
    </w:p>
    <w:p w14:paraId="11A7E94F" w14:textId="24D30117" w:rsidR="00F208A5" w:rsidRPr="00F208A5" w:rsidRDefault="595ACFD6" w:rsidP="00F422B7">
      <w:pPr>
        <w:pStyle w:val="Default"/>
        <w:numPr>
          <w:ilvl w:val="0"/>
          <w:numId w:val="3"/>
        </w:numPr>
        <w:spacing w:before="140" w:after="140"/>
        <w:ind w:left="426"/>
        <w:jc w:val="both"/>
        <w:rPr>
          <w:sz w:val="22"/>
          <w:szCs w:val="22"/>
        </w:rPr>
      </w:pPr>
      <w:r w:rsidRPr="470036C5">
        <w:rPr>
          <w:sz w:val="22"/>
          <w:szCs w:val="22"/>
        </w:rPr>
        <w:t>W oparciu o art. 99 ust. 5 ustawy P</w:t>
      </w:r>
      <w:r w:rsidR="00076213">
        <w:rPr>
          <w:sz w:val="22"/>
          <w:szCs w:val="22"/>
        </w:rPr>
        <w:t>rawo zamówień publicznych</w:t>
      </w:r>
      <w:r w:rsidR="004C7979">
        <w:rPr>
          <w:sz w:val="22"/>
          <w:szCs w:val="22"/>
        </w:rPr>
        <w:t>,</w:t>
      </w:r>
      <w:bookmarkStart w:id="1" w:name="_GoBack"/>
      <w:bookmarkEnd w:id="1"/>
      <w:r w:rsidR="00076213">
        <w:rPr>
          <w:sz w:val="22"/>
          <w:szCs w:val="22"/>
        </w:rPr>
        <w:t xml:space="preserve"> </w:t>
      </w:r>
      <w:r w:rsidRPr="470036C5">
        <w:rPr>
          <w:sz w:val="22"/>
          <w:szCs w:val="22"/>
        </w:rPr>
        <w:t>ilekroć w niniejszym OPZ</w:t>
      </w:r>
      <w:r w:rsidR="52908C70" w:rsidRPr="470036C5">
        <w:rPr>
          <w:sz w:val="22"/>
          <w:szCs w:val="22"/>
        </w:rPr>
        <w:t>,</w:t>
      </w:r>
      <w:r w:rsidRPr="470036C5">
        <w:rPr>
          <w:sz w:val="22"/>
          <w:szCs w:val="22"/>
        </w:rPr>
        <w:t xml:space="preserve"> przedmiot zamówienia jest opisany ze wskazaniem znaków towarowych, patentów lub pochodzenia, źródła </w:t>
      </w:r>
      <w:r w:rsidR="00076213">
        <w:rPr>
          <w:sz w:val="22"/>
          <w:szCs w:val="22"/>
        </w:rPr>
        <w:br/>
      </w:r>
      <w:r w:rsidRPr="470036C5">
        <w:rPr>
          <w:sz w:val="22"/>
          <w:szCs w:val="22"/>
        </w:rPr>
        <w:t xml:space="preserve">lub szczególnego procesu, który charakteryzuje produkty lub usługi dostarczane przez konkretnego wykonawcę to przyjmuje się, że wskazaniom takim towarzyszą </w:t>
      </w:r>
      <w:r w:rsidRPr="00314897">
        <w:rPr>
          <w:sz w:val="22"/>
          <w:szCs w:val="22"/>
        </w:rPr>
        <w:t>wyrazy „lub równoważny”.</w:t>
      </w:r>
      <w:r w:rsidRPr="470036C5">
        <w:rPr>
          <w:b/>
          <w:bCs/>
          <w:sz w:val="22"/>
          <w:szCs w:val="22"/>
        </w:rPr>
        <w:t xml:space="preserve"> </w:t>
      </w:r>
    </w:p>
    <w:p w14:paraId="650E8F3D" w14:textId="7DA16641" w:rsidR="00F208A5" w:rsidRDefault="00F208A5" w:rsidP="00F422B7">
      <w:pPr>
        <w:pStyle w:val="Default"/>
        <w:numPr>
          <w:ilvl w:val="0"/>
          <w:numId w:val="3"/>
        </w:numPr>
        <w:spacing w:before="140" w:after="1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Dostawa,</w:t>
      </w:r>
      <w:r w:rsidR="004F0F92">
        <w:rPr>
          <w:sz w:val="22"/>
          <w:szCs w:val="22"/>
        </w:rPr>
        <w:t xml:space="preserve"> </w:t>
      </w:r>
      <w:r w:rsidR="004F0F92" w:rsidRPr="470036C5">
        <w:rPr>
          <w:sz w:val="22"/>
          <w:szCs w:val="22"/>
        </w:rPr>
        <w:t xml:space="preserve">wyładowanie, wniesienie, </w:t>
      </w:r>
      <w:r w:rsidR="00CD13D9">
        <w:rPr>
          <w:sz w:val="22"/>
          <w:szCs w:val="22"/>
        </w:rPr>
        <w:t xml:space="preserve">materiałów </w:t>
      </w:r>
      <w:r>
        <w:rPr>
          <w:sz w:val="22"/>
          <w:szCs w:val="22"/>
        </w:rPr>
        <w:t xml:space="preserve">winny zostać przeprowadzone przez Wykonawcę w sposób zapewniający prawidłowe funkcjonowanie dostarczonych elementów. Wykonawca zobowiązany będzie do współpracy z producentem/-ami </w:t>
      </w:r>
      <w:r w:rsidR="00657AEE">
        <w:rPr>
          <w:sz w:val="22"/>
          <w:szCs w:val="22"/>
        </w:rPr>
        <w:t>materiałów</w:t>
      </w:r>
      <w:r>
        <w:rPr>
          <w:sz w:val="22"/>
          <w:szCs w:val="22"/>
        </w:rPr>
        <w:t xml:space="preserve">, o ile wymóg taki wynikać będzie z warunków producenta. </w:t>
      </w:r>
    </w:p>
    <w:p w14:paraId="5EAA47F7" w14:textId="2AE16AAA" w:rsidR="00AF0063" w:rsidRDefault="00AF0063" w:rsidP="00202355"/>
    <w:sectPr w:rsidR="00AF0063" w:rsidSect="00076213">
      <w:footerReference w:type="default" r:id="rId10"/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3183" w14:textId="77777777" w:rsidR="00C25E5D" w:rsidRDefault="00C25E5D" w:rsidP="00EE15B1">
      <w:pPr>
        <w:spacing w:after="0" w:line="240" w:lineRule="auto"/>
      </w:pPr>
      <w:r>
        <w:separator/>
      </w:r>
    </w:p>
  </w:endnote>
  <w:endnote w:type="continuationSeparator" w:id="0">
    <w:p w14:paraId="5615F500" w14:textId="77777777" w:rsidR="00C25E5D" w:rsidRDefault="00C25E5D" w:rsidP="00EE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51067" w14:textId="1F4F0025" w:rsidR="00076213" w:rsidRPr="00076213" w:rsidRDefault="00076213" w:rsidP="00076213">
    <w:pPr>
      <w:pStyle w:val="Stopka"/>
      <w:jc w:val="right"/>
      <w:rPr>
        <w:sz w:val="20"/>
        <w:szCs w:val="20"/>
      </w:rPr>
    </w:pPr>
    <w:r w:rsidRPr="00076213">
      <w:rPr>
        <w:sz w:val="20"/>
        <w:szCs w:val="20"/>
      </w:rPr>
      <w:fldChar w:fldCharType="begin"/>
    </w:r>
    <w:r w:rsidRPr="00076213">
      <w:rPr>
        <w:sz w:val="20"/>
        <w:szCs w:val="20"/>
      </w:rPr>
      <w:instrText>PAGE   \* MERGEFORMAT</w:instrText>
    </w:r>
    <w:r w:rsidRPr="00076213">
      <w:rPr>
        <w:sz w:val="20"/>
        <w:szCs w:val="20"/>
      </w:rPr>
      <w:fldChar w:fldCharType="separate"/>
    </w:r>
    <w:r w:rsidRPr="00076213">
      <w:rPr>
        <w:sz w:val="20"/>
        <w:szCs w:val="20"/>
      </w:rPr>
      <w:t>1</w:t>
    </w:r>
    <w:r w:rsidRPr="0007621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BFF2" w14:textId="77777777" w:rsidR="00C25E5D" w:rsidRDefault="00C25E5D" w:rsidP="00EE15B1">
      <w:pPr>
        <w:spacing w:after="0" w:line="240" w:lineRule="auto"/>
      </w:pPr>
      <w:r>
        <w:separator/>
      </w:r>
    </w:p>
  </w:footnote>
  <w:footnote w:type="continuationSeparator" w:id="0">
    <w:p w14:paraId="5915F751" w14:textId="77777777" w:rsidR="00C25E5D" w:rsidRDefault="00C25E5D" w:rsidP="00EE1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90C"/>
    <w:multiLevelType w:val="hybridMultilevel"/>
    <w:tmpl w:val="F1002932"/>
    <w:lvl w:ilvl="0" w:tplc="061CA0FC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563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F44A89"/>
    <w:multiLevelType w:val="hybridMultilevel"/>
    <w:tmpl w:val="9760CF4C"/>
    <w:lvl w:ilvl="0" w:tplc="385C7630">
      <w:start w:val="1"/>
      <w:numFmt w:val="decimal"/>
      <w:lvlText w:val="%1."/>
      <w:lvlJc w:val="left"/>
      <w:pPr>
        <w:ind w:left="720" w:hanging="360"/>
      </w:pPr>
    </w:lvl>
    <w:lvl w:ilvl="1" w:tplc="DE1C80EC">
      <w:start w:val="1"/>
      <w:numFmt w:val="ordinal"/>
      <w:lvlText w:val="8.%2"/>
      <w:lvlJc w:val="left"/>
      <w:pPr>
        <w:ind w:left="1440" w:hanging="360"/>
      </w:pPr>
      <w:rPr>
        <w:rFonts w:hint="default"/>
      </w:rPr>
    </w:lvl>
    <w:lvl w:ilvl="2" w:tplc="09A65ECE">
      <w:start w:val="1"/>
      <w:numFmt w:val="lowerRoman"/>
      <w:lvlText w:val="%3."/>
      <w:lvlJc w:val="right"/>
      <w:pPr>
        <w:ind w:left="2160" w:hanging="180"/>
      </w:pPr>
    </w:lvl>
    <w:lvl w:ilvl="3" w:tplc="6A3C0B80">
      <w:start w:val="1"/>
      <w:numFmt w:val="decimal"/>
      <w:lvlText w:val="%4."/>
      <w:lvlJc w:val="left"/>
      <w:pPr>
        <w:ind w:left="2880" w:hanging="360"/>
      </w:pPr>
    </w:lvl>
    <w:lvl w:ilvl="4" w:tplc="B132620C">
      <w:start w:val="1"/>
      <w:numFmt w:val="lowerLetter"/>
      <w:lvlText w:val="%5."/>
      <w:lvlJc w:val="left"/>
      <w:pPr>
        <w:ind w:left="3600" w:hanging="360"/>
      </w:pPr>
    </w:lvl>
    <w:lvl w:ilvl="5" w:tplc="F0DCA79C">
      <w:start w:val="1"/>
      <w:numFmt w:val="lowerRoman"/>
      <w:lvlText w:val="%6."/>
      <w:lvlJc w:val="right"/>
      <w:pPr>
        <w:ind w:left="4320" w:hanging="180"/>
      </w:pPr>
    </w:lvl>
    <w:lvl w:ilvl="6" w:tplc="90CA300E">
      <w:start w:val="1"/>
      <w:numFmt w:val="decimal"/>
      <w:lvlText w:val="%7."/>
      <w:lvlJc w:val="left"/>
      <w:pPr>
        <w:ind w:left="5040" w:hanging="360"/>
      </w:pPr>
    </w:lvl>
    <w:lvl w:ilvl="7" w:tplc="162ACF68">
      <w:start w:val="1"/>
      <w:numFmt w:val="lowerLetter"/>
      <w:lvlText w:val="%8."/>
      <w:lvlJc w:val="left"/>
      <w:pPr>
        <w:ind w:left="5760" w:hanging="360"/>
      </w:pPr>
    </w:lvl>
    <w:lvl w:ilvl="8" w:tplc="7644A5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5F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51EF5"/>
    <w:multiLevelType w:val="hybridMultilevel"/>
    <w:tmpl w:val="2B70BA6E"/>
    <w:lvl w:ilvl="0" w:tplc="9FC6D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36980"/>
    <w:multiLevelType w:val="hybridMultilevel"/>
    <w:tmpl w:val="A886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DF41B"/>
    <w:multiLevelType w:val="hybridMultilevel"/>
    <w:tmpl w:val="24EAAA1A"/>
    <w:lvl w:ilvl="0" w:tplc="72604F1A">
      <w:start w:val="1"/>
      <w:numFmt w:val="decimal"/>
      <w:lvlText w:val="%1)"/>
      <w:lvlJc w:val="left"/>
      <w:pPr>
        <w:ind w:left="720" w:hanging="360"/>
      </w:pPr>
    </w:lvl>
    <w:lvl w:ilvl="1" w:tplc="1D86E606">
      <w:start w:val="1"/>
      <w:numFmt w:val="lowerLetter"/>
      <w:lvlText w:val="%2."/>
      <w:lvlJc w:val="left"/>
      <w:pPr>
        <w:ind w:left="1440" w:hanging="360"/>
      </w:pPr>
    </w:lvl>
    <w:lvl w:ilvl="2" w:tplc="09789EC6">
      <w:start w:val="1"/>
      <w:numFmt w:val="lowerRoman"/>
      <w:lvlText w:val="%3."/>
      <w:lvlJc w:val="right"/>
      <w:pPr>
        <w:ind w:left="2160" w:hanging="180"/>
      </w:pPr>
    </w:lvl>
    <w:lvl w:ilvl="3" w:tplc="994A4F9A">
      <w:start w:val="1"/>
      <w:numFmt w:val="decimal"/>
      <w:lvlText w:val="%4."/>
      <w:lvlJc w:val="left"/>
      <w:pPr>
        <w:ind w:left="2880" w:hanging="360"/>
      </w:pPr>
    </w:lvl>
    <w:lvl w:ilvl="4" w:tplc="32567ADE">
      <w:start w:val="1"/>
      <w:numFmt w:val="lowerLetter"/>
      <w:lvlText w:val="%5."/>
      <w:lvlJc w:val="left"/>
      <w:pPr>
        <w:ind w:left="3600" w:hanging="360"/>
      </w:pPr>
    </w:lvl>
    <w:lvl w:ilvl="5" w:tplc="045A372A">
      <w:start w:val="1"/>
      <w:numFmt w:val="lowerRoman"/>
      <w:lvlText w:val="%6."/>
      <w:lvlJc w:val="right"/>
      <w:pPr>
        <w:ind w:left="4320" w:hanging="180"/>
      </w:pPr>
    </w:lvl>
    <w:lvl w:ilvl="6" w:tplc="9FB8E0E0">
      <w:start w:val="1"/>
      <w:numFmt w:val="decimal"/>
      <w:lvlText w:val="%7."/>
      <w:lvlJc w:val="left"/>
      <w:pPr>
        <w:ind w:left="5040" w:hanging="360"/>
      </w:pPr>
    </w:lvl>
    <w:lvl w:ilvl="7" w:tplc="B28299DC">
      <w:start w:val="1"/>
      <w:numFmt w:val="lowerLetter"/>
      <w:lvlText w:val="%8."/>
      <w:lvlJc w:val="left"/>
      <w:pPr>
        <w:ind w:left="5760" w:hanging="360"/>
      </w:pPr>
    </w:lvl>
    <w:lvl w:ilvl="8" w:tplc="1AC455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C58"/>
    <w:multiLevelType w:val="multilevel"/>
    <w:tmpl w:val="6B24AC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8" w15:restartNumberingAfterBreak="0">
    <w:nsid w:val="52430B10"/>
    <w:multiLevelType w:val="hybridMultilevel"/>
    <w:tmpl w:val="289C55AA"/>
    <w:lvl w:ilvl="0" w:tplc="17E2BB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1D57BA"/>
    <w:multiLevelType w:val="multilevel"/>
    <w:tmpl w:val="6CF445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theme="minorBidi" w:hint="default"/>
      </w:rPr>
    </w:lvl>
  </w:abstractNum>
  <w:abstractNum w:abstractNumId="10" w15:restartNumberingAfterBreak="0">
    <w:nsid w:val="6FEF0521"/>
    <w:multiLevelType w:val="hybridMultilevel"/>
    <w:tmpl w:val="D6D2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35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D5"/>
    <w:rsid w:val="00005B4A"/>
    <w:rsid w:val="00013203"/>
    <w:rsid w:val="00026228"/>
    <w:rsid w:val="00046581"/>
    <w:rsid w:val="00064884"/>
    <w:rsid w:val="00070AA9"/>
    <w:rsid w:val="0007248B"/>
    <w:rsid w:val="000759FB"/>
    <w:rsid w:val="00076213"/>
    <w:rsid w:val="00080C25"/>
    <w:rsid w:val="000965F2"/>
    <w:rsid w:val="000B05B3"/>
    <w:rsid w:val="000C0A5C"/>
    <w:rsid w:val="000C1C06"/>
    <w:rsid w:val="000D2F6C"/>
    <w:rsid w:val="000F5855"/>
    <w:rsid w:val="00105C92"/>
    <w:rsid w:val="001224BE"/>
    <w:rsid w:val="00137C85"/>
    <w:rsid w:val="00146982"/>
    <w:rsid w:val="00150B75"/>
    <w:rsid w:val="0016728E"/>
    <w:rsid w:val="001758B1"/>
    <w:rsid w:val="00184E5D"/>
    <w:rsid w:val="00185F3F"/>
    <w:rsid w:val="001A229C"/>
    <w:rsid w:val="001A3667"/>
    <w:rsid w:val="001A7F1B"/>
    <w:rsid w:val="001B0711"/>
    <w:rsid w:val="001B0F31"/>
    <w:rsid w:val="001B5753"/>
    <w:rsid w:val="001B66DB"/>
    <w:rsid w:val="001C273E"/>
    <w:rsid w:val="001E6A2F"/>
    <w:rsid w:val="001F04B6"/>
    <w:rsid w:val="00202355"/>
    <w:rsid w:val="0020275E"/>
    <w:rsid w:val="002036A5"/>
    <w:rsid w:val="00212CCF"/>
    <w:rsid w:val="00217467"/>
    <w:rsid w:val="00221B6C"/>
    <w:rsid w:val="00233088"/>
    <w:rsid w:val="002352B8"/>
    <w:rsid w:val="00236E9E"/>
    <w:rsid w:val="002566C5"/>
    <w:rsid w:val="00263444"/>
    <w:rsid w:val="0028375B"/>
    <w:rsid w:val="002855F8"/>
    <w:rsid w:val="00290EB1"/>
    <w:rsid w:val="002B1E91"/>
    <w:rsid w:val="002B45C7"/>
    <w:rsid w:val="002C577C"/>
    <w:rsid w:val="002D5D81"/>
    <w:rsid w:val="002D6E25"/>
    <w:rsid w:val="002E4495"/>
    <w:rsid w:val="00300560"/>
    <w:rsid w:val="0030359C"/>
    <w:rsid w:val="00314897"/>
    <w:rsid w:val="003151F6"/>
    <w:rsid w:val="00334EAF"/>
    <w:rsid w:val="00341FB3"/>
    <w:rsid w:val="00352D97"/>
    <w:rsid w:val="00353EBA"/>
    <w:rsid w:val="00370F1D"/>
    <w:rsid w:val="0039507E"/>
    <w:rsid w:val="003B317D"/>
    <w:rsid w:val="003C0EE1"/>
    <w:rsid w:val="003D43F2"/>
    <w:rsid w:val="003D77C2"/>
    <w:rsid w:val="004104BD"/>
    <w:rsid w:val="0041250D"/>
    <w:rsid w:val="00421F98"/>
    <w:rsid w:val="00443B08"/>
    <w:rsid w:val="0044627E"/>
    <w:rsid w:val="004603DD"/>
    <w:rsid w:val="004634C1"/>
    <w:rsid w:val="00466512"/>
    <w:rsid w:val="00467B20"/>
    <w:rsid w:val="004919E1"/>
    <w:rsid w:val="0049257B"/>
    <w:rsid w:val="004A67C8"/>
    <w:rsid w:val="004B4E25"/>
    <w:rsid w:val="004C06B0"/>
    <w:rsid w:val="004C483F"/>
    <w:rsid w:val="004C7979"/>
    <w:rsid w:val="004E19DD"/>
    <w:rsid w:val="004F0F92"/>
    <w:rsid w:val="00511065"/>
    <w:rsid w:val="005112B7"/>
    <w:rsid w:val="00515E03"/>
    <w:rsid w:val="00522301"/>
    <w:rsid w:val="00523CD1"/>
    <w:rsid w:val="005343FA"/>
    <w:rsid w:val="00555164"/>
    <w:rsid w:val="00563EDA"/>
    <w:rsid w:val="00584533"/>
    <w:rsid w:val="0058533D"/>
    <w:rsid w:val="00594850"/>
    <w:rsid w:val="0059493E"/>
    <w:rsid w:val="005B4532"/>
    <w:rsid w:val="005B45A2"/>
    <w:rsid w:val="005E6584"/>
    <w:rsid w:val="005F480E"/>
    <w:rsid w:val="00616DE1"/>
    <w:rsid w:val="00641558"/>
    <w:rsid w:val="00643411"/>
    <w:rsid w:val="00647A8F"/>
    <w:rsid w:val="00653A92"/>
    <w:rsid w:val="0065640F"/>
    <w:rsid w:val="00657AEE"/>
    <w:rsid w:val="006713C5"/>
    <w:rsid w:val="006760C1"/>
    <w:rsid w:val="006855AD"/>
    <w:rsid w:val="00692845"/>
    <w:rsid w:val="006E219B"/>
    <w:rsid w:val="006F0324"/>
    <w:rsid w:val="007007ED"/>
    <w:rsid w:val="0070369E"/>
    <w:rsid w:val="00713FD0"/>
    <w:rsid w:val="00721485"/>
    <w:rsid w:val="007225E4"/>
    <w:rsid w:val="007226DD"/>
    <w:rsid w:val="00726564"/>
    <w:rsid w:val="007360D8"/>
    <w:rsid w:val="00741B31"/>
    <w:rsid w:val="00741F2D"/>
    <w:rsid w:val="007459E8"/>
    <w:rsid w:val="0077276C"/>
    <w:rsid w:val="00776427"/>
    <w:rsid w:val="00777B80"/>
    <w:rsid w:val="0078560D"/>
    <w:rsid w:val="00790285"/>
    <w:rsid w:val="007A0658"/>
    <w:rsid w:val="007A6C8D"/>
    <w:rsid w:val="007C0E6A"/>
    <w:rsid w:val="007D3639"/>
    <w:rsid w:val="007D3A78"/>
    <w:rsid w:val="007D46AC"/>
    <w:rsid w:val="007D5CC6"/>
    <w:rsid w:val="007D754B"/>
    <w:rsid w:val="007F5784"/>
    <w:rsid w:val="00800BBE"/>
    <w:rsid w:val="008063D3"/>
    <w:rsid w:val="0082272E"/>
    <w:rsid w:val="00832DFC"/>
    <w:rsid w:val="00834E16"/>
    <w:rsid w:val="00840CDF"/>
    <w:rsid w:val="008454E7"/>
    <w:rsid w:val="008502F7"/>
    <w:rsid w:val="00863805"/>
    <w:rsid w:val="00864F36"/>
    <w:rsid w:val="00874AA9"/>
    <w:rsid w:val="00890369"/>
    <w:rsid w:val="00897E15"/>
    <w:rsid w:val="008A33EB"/>
    <w:rsid w:val="008C57A9"/>
    <w:rsid w:val="008C5C04"/>
    <w:rsid w:val="008C6C6A"/>
    <w:rsid w:val="008D7A63"/>
    <w:rsid w:val="008F288C"/>
    <w:rsid w:val="0090748E"/>
    <w:rsid w:val="00910A5A"/>
    <w:rsid w:val="00913A32"/>
    <w:rsid w:val="00920CE6"/>
    <w:rsid w:val="009224D5"/>
    <w:rsid w:val="00934397"/>
    <w:rsid w:val="009568D4"/>
    <w:rsid w:val="009608A5"/>
    <w:rsid w:val="009653E6"/>
    <w:rsid w:val="009706D8"/>
    <w:rsid w:val="00991B8B"/>
    <w:rsid w:val="00997ADC"/>
    <w:rsid w:val="009A256D"/>
    <w:rsid w:val="009B1138"/>
    <w:rsid w:val="009C4966"/>
    <w:rsid w:val="009D560F"/>
    <w:rsid w:val="009D5F2C"/>
    <w:rsid w:val="009E62CD"/>
    <w:rsid w:val="009F2AAE"/>
    <w:rsid w:val="009F3ADC"/>
    <w:rsid w:val="00A15357"/>
    <w:rsid w:val="00A221F4"/>
    <w:rsid w:val="00A26550"/>
    <w:rsid w:val="00A33889"/>
    <w:rsid w:val="00A4555F"/>
    <w:rsid w:val="00A52D30"/>
    <w:rsid w:val="00A571F7"/>
    <w:rsid w:val="00A676A4"/>
    <w:rsid w:val="00A72A02"/>
    <w:rsid w:val="00A777C5"/>
    <w:rsid w:val="00A902DA"/>
    <w:rsid w:val="00A94317"/>
    <w:rsid w:val="00AA01AC"/>
    <w:rsid w:val="00AA5807"/>
    <w:rsid w:val="00AA5CA4"/>
    <w:rsid w:val="00AB5D64"/>
    <w:rsid w:val="00AC43E0"/>
    <w:rsid w:val="00AD4388"/>
    <w:rsid w:val="00AF0063"/>
    <w:rsid w:val="00B02A65"/>
    <w:rsid w:val="00B213E5"/>
    <w:rsid w:val="00B22E12"/>
    <w:rsid w:val="00B26BD5"/>
    <w:rsid w:val="00B318CD"/>
    <w:rsid w:val="00B379CA"/>
    <w:rsid w:val="00B41277"/>
    <w:rsid w:val="00B67E4F"/>
    <w:rsid w:val="00B74368"/>
    <w:rsid w:val="00B75452"/>
    <w:rsid w:val="00B7617C"/>
    <w:rsid w:val="00B813A4"/>
    <w:rsid w:val="00BA3910"/>
    <w:rsid w:val="00BA5D86"/>
    <w:rsid w:val="00BC3B87"/>
    <w:rsid w:val="00BE46BB"/>
    <w:rsid w:val="00C14961"/>
    <w:rsid w:val="00C234B2"/>
    <w:rsid w:val="00C25E5D"/>
    <w:rsid w:val="00C27FF7"/>
    <w:rsid w:val="00C50B5A"/>
    <w:rsid w:val="00C63BE7"/>
    <w:rsid w:val="00CA2DF0"/>
    <w:rsid w:val="00CD13D9"/>
    <w:rsid w:val="00CD3CAC"/>
    <w:rsid w:val="00CE1F7B"/>
    <w:rsid w:val="00CE2E73"/>
    <w:rsid w:val="00CF0D1D"/>
    <w:rsid w:val="00CF2B63"/>
    <w:rsid w:val="00CF5399"/>
    <w:rsid w:val="00D06E73"/>
    <w:rsid w:val="00D11BC5"/>
    <w:rsid w:val="00D25700"/>
    <w:rsid w:val="00D268D6"/>
    <w:rsid w:val="00D33C3A"/>
    <w:rsid w:val="00D539E3"/>
    <w:rsid w:val="00D541C0"/>
    <w:rsid w:val="00D60BEF"/>
    <w:rsid w:val="00D73E79"/>
    <w:rsid w:val="00D756C5"/>
    <w:rsid w:val="00D773A7"/>
    <w:rsid w:val="00D86460"/>
    <w:rsid w:val="00DC12D2"/>
    <w:rsid w:val="00DD13C9"/>
    <w:rsid w:val="00DE1FAF"/>
    <w:rsid w:val="00DF3E9B"/>
    <w:rsid w:val="00E302C6"/>
    <w:rsid w:val="00E33AC8"/>
    <w:rsid w:val="00E4635B"/>
    <w:rsid w:val="00E6480D"/>
    <w:rsid w:val="00E66170"/>
    <w:rsid w:val="00E70462"/>
    <w:rsid w:val="00E91EE8"/>
    <w:rsid w:val="00E93B41"/>
    <w:rsid w:val="00E952F5"/>
    <w:rsid w:val="00ED0439"/>
    <w:rsid w:val="00EE13DC"/>
    <w:rsid w:val="00EE15B1"/>
    <w:rsid w:val="00EE7070"/>
    <w:rsid w:val="00EF6808"/>
    <w:rsid w:val="00F208A5"/>
    <w:rsid w:val="00F422B7"/>
    <w:rsid w:val="00F4520F"/>
    <w:rsid w:val="00F50466"/>
    <w:rsid w:val="00F5445F"/>
    <w:rsid w:val="00F60657"/>
    <w:rsid w:val="00F81915"/>
    <w:rsid w:val="00F8320B"/>
    <w:rsid w:val="00FA03DB"/>
    <w:rsid w:val="00FB6876"/>
    <w:rsid w:val="00FC2A7E"/>
    <w:rsid w:val="00FC6D73"/>
    <w:rsid w:val="00FC703D"/>
    <w:rsid w:val="00FD0720"/>
    <w:rsid w:val="00FD30C5"/>
    <w:rsid w:val="0278584E"/>
    <w:rsid w:val="06760CED"/>
    <w:rsid w:val="0765E360"/>
    <w:rsid w:val="0ACEDB3E"/>
    <w:rsid w:val="0C56F359"/>
    <w:rsid w:val="10BAC7F9"/>
    <w:rsid w:val="12374FCC"/>
    <w:rsid w:val="15212625"/>
    <w:rsid w:val="185FE17F"/>
    <w:rsid w:val="1913A1D4"/>
    <w:rsid w:val="19CAA162"/>
    <w:rsid w:val="1A84AC44"/>
    <w:rsid w:val="1C4A84CF"/>
    <w:rsid w:val="1C8F7393"/>
    <w:rsid w:val="1C944D37"/>
    <w:rsid w:val="1E98A87E"/>
    <w:rsid w:val="21CDF0E6"/>
    <w:rsid w:val="2376FE9D"/>
    <w:rsid w:val="2456C5A4"/>
    <w:rsid w:val="27CBA2A0"/>
    <w:rsid w:val="2B4856F7"/>
    <w:rsid w:val="2E308EEC"/>
    <w:rsid w:val="30B68C28"/>
    <w:rsid w:val="32D7D7A3"/>
    <w:rsid w:val="3309B05E"/>
    <w:rsid w:val="3442EA21"/>
    <w:rsid w:val="351C4CEA"/>
    <w:rsid w:val="358A69FF"/>
    <w:rsid w:val="35BA39A5"/>
    <w:rsid w:val="366B23A6"/>
    <w:rsid w:val="37666E7D"/>
    <w:rsid w:val="380DB1A2"/>
    <w:rsid w:val="3C0BCE26"/>
    <w:rsid w:val="3DDEF760"/>
    <w:rsid w:val="44199066"/>
    <w:rsid w:val="470036C5"/>
    <w:rsid w:val="473E0A77"/>
    <w:rsid w:val="47C27EE8"/>
    <w:rsid w:val="4835D49A"/>
    <w:rsid w:val="495DA289"/>
    <w:rsid w:val="49C7D358"/>
    <w:rsid w:val="49D1A38B"/>
    <w:rsid w:val="4B006265"/>
    <w:rsid w:val="4C2F5329"/>
    <w:rsid w:val="4C9C32C6"/>
    <w:rsid w:val="4F2FF3FF"/>
    <w:rsid w:val="50CBC460"/>
    <w:rsid w:val="51154237"/>
    <w:rsid w:val="52908C70"/>
    <w:rsid w:val="55640811"/>
    <w:rsid w:val="582B326A"/>
    <w:rsid w:val="593FBB57"/>
    <w:rsid w:val="595ACFD6"/>
    <w:rsid w:val="59BFD080"/>
    <w:rsid w:val="5A046863"/>
    <w:rsid w:val="5AB68EBB"/>
    <w:rsid w:val="5B186894"/>
    <w:rsid w:val="5B61296A"/>
    <w:rsid w:val="5BE60701"/>
    <w:rsid w:val="601983DE"/>
    <w:rsid w:val="641D3243"/>
    <w:rsid w:val="65E5CD74"/>
    <w:rsid w:val="6C2E8495"/>
    <w:rsid w:val="6E63E960"/>
    <w:rsid w:val="72C1294E"/>
    <w:rsid w:val="72CE8E6F"/>
    <w:rsid w:val="74CDA28A"/>
    <w:rsid w:val="7553E3D0"/>
    <w:rsid w:val="7751E4BC"/>
    <w:rsid w:val="777BA0EB"/>
    <w:rsid w:val="7891A4C3"/>
    <w:rsid w:val="79D2CCEF"/>
    <w:rsid w:val="7BB87642"/>
    <w:rsid w:val="7F00E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32BD3"/>
  <w15:chartTrackingRefBased/>
  <w15:docId w15:val="{1A1707F5-ACC2-4D8C-9735-398BE1DC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0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6BD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2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3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0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0C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A0658"/>
    <w:rPr>
      <w:color w:val="808080"/>
    </w:rPr>
  </w:style>
  <w:style w:type="paragraph" w:styleId="Bezodstpw">
    <w:name w:val="No Spacing"/>
    <w:uiPriority w:val="1"/>
    <w:qFormat/>
    <w:rsid w:val="007A065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A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65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A065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7A0658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7A065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E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5B1"/>
  </w:style>
  <w:style w:type="paragraph" w:styleId="Stopka">
    <w:name w:val="footer"/>
    <w:basedOn w:val="Normalny"/>
    <w:link w:val="StopkaZnak"/>
    <w:uiPriority w:val="99"/>
    <w:unhideWhenUsed/>
    <w:rsid w:val="00EE1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8EEBD193E38499DE37E6A03A9C177" ma:contentTypeVersion="2" ma:contentTypeDescription="Utwórz nowy dokument." ma:contentTypeScope="" ma:versionID="039bd30d48778bc0eaad28d851dd20fb">
  <xsd:schema xmlns:xsd="http://www.w3.org/2001/XMLSchema" xmlns:xs="http://www.w3.org/2001/XMLSchema" xmlns:p="http://schemas.microsoft.com/office/2006/metadata/properties" xmlns:ns2="9098b659-39b5-4ea9-bda9-13cb70fb72d3" targetNamespace="http://schemas.microsoft.com/office/2006/metadata/properties" ma:root="true" ma:fieldsID="7a3e4478f7d28c11287c8d0bce557fca" ns2:_="">
    <xsd:import namespace="9098b659-39b5-4ea9-bda9-13cb70fb7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b659-39b5-4ea9-bda9-13cb70fb7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06C3E-E9CE-4E36-94B1-2F48A3FA5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DA484-F8D6-48A5-BBF7-4FC6DC70F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b659-39b5-4ea9-bda9-13cb70fb7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A9CE2-6622-472C-862F-67BC33DF87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 Joanna</dc:creator>
  <cp:keywords/>
  <dc:description/>
  <cp:lastModifiedBy>Frączek Anna</cp:lastModifiedBy>
  <cp:revision>42</cp:revision>
  <cp:lastPrinted>2023-08-18T09:18:00Z</cp:lastPrinted>
  <dcterms:created xsi:type="dcterms:W3CDTF">2022-10-21T14:09:00Z</dcterms:created>
  <dcterms:modified xsi:type="dcterms:W3CDTF">2023-08-18T09:19:00Z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0x0101003EF8EEBD193E38499DE37E6A03A9C177</vt:lpwstr>
  </property>
  <property fmtid="{D5CDD505-2E9C-101B-9397-08002B2CF9AE}" pid="3" name="MediaServiceImageTags">
    <vt:lpwstr/>
  </property>
</Properties>
</file>