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57375426" wp14:textId="74C20A86">
      <w:r w:rsidR="16431F5C">
        <w:rPr/>
        <w:t>Pytanie:</w:t>
      </w:r>
    </w:p>
    <w:p w:rsidR="3D3B2924" w:rsidP="3D3B2924" w:rsidRDefault="3D3B2924" w14:paraId="05CBCD10" w14:textId="75D3913E">
      <w:pPr>
        <w:pStyle w:val="Normal"/>
      </w:pPr>
    </w:p>
    <w:p w:rsidR="16431F5C" w:rsidP="3D3B2924" w:rsidRDefault="16431F5C" w14:paraId="25CF301F" w14:textId="5A1B4AE6">
      <w:pPr>
        <w:pStyle w:val="Normal"/>
        <w:rPr>
          <w:rFonts w:ascii="Aptos" w:hAnsi="Aptos" w:eastAsia="Aptos" w:cs="Aptos"/>
          <w:noProof w:val="0"/>
          <w:sz w:val="24"/>
          <w:szCs w:val="24"/>
          <w:lang w:val="pl-PL"/>
        </w:rPr>
      </w:pPr>
      <w:r w:rsidRPr="5082A315" w:rsidR="16431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Jakie przepisy/normy musi spełniać opakowanie, by można je uznać za opakowanie wielokrotnego użytku? </w:t>
      </w:r>
      <w:r w:rsidRPr="5082A315" w:rsidR="16431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Firmy</w:t>
      </w:r>
      <w:r w:rsidRPr="5082A315" w:rsidR="16431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  <w:t xml:space="preserve"> zaświadczeniach powołują się na zgodność z normą: 12875 (odporność naczyń kuchennych na mechaniczne zmywanie) Czy to wystarczy, by uznać takie opakowanie za wielokrotnego użytku? Jest jeszcze norma 13429 (wymagania, które powinno spełniać </w:t>
      </w:r>
      <w:r w:rsidRPr="5082A315" w:rsidR="16431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  <w:t>opakowanie</w:t>
      </w:r>
      <w:r w:rsidRPr="5082A315" w:rsidR="16431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  <w:t xml:space="preserve"> aby zostało zaklasyfikowane jako opakowanie wielokrotnego użytku oraz procedury oceny zgodności z tymi wymaganiami z włączeniem towarzyszących systemów).  Jakie papiery przedstawione przez dostawców opakowań </w:t>
      </w:r>
      <w:r w:rsidRPr="5082A315" w:rsidR="168E48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  <w:t xml:space="preserve">są wystarczające? </w:t>
      </w:r>
      <w:r w:rsidRPr="5082A315" w:rsidR="16431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  <w:t xml:space="preserve"> Na co powinni się powoływać?</w:t>
      </w:r>
    </w:p>
    <w:p w:rsidR="5082A315" w:rsidP="5082A315" w:rsidRDefault="5082A315" w14:paraId="6E5F198F" w14:textId="0D0D759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</w:pPr>
    </w:p>
    <w:p w:rsidR="60FEE886" w:rsidP="5082A315" w:rsidRDefault="60FEE886" w14:paraId="7D77ADC5" w14:textId="74D44CB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  <w:t>Odpowiedz:</w:t>
      </w:r>
    </w:p>
    <w:p w:rsidR="5082A315" w:rsidP="5082A315" w:rsidRDefault="5082A315" w14:paraId="2975D21F" w14:textId="6EB6058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</w:pPr>
    </w:p>
    <w:p w:rsidR="5082A315" w:rsidP="5082A315" w:rsidRDefault="5082A315" w14:paraId="673E6606" w14:textId="1126DB60">
      <w:pPr>
        <w:shd w:val="clear" w:color="auto" w:fill="FFFFFF" w:themeFill="background1"/>
        <w:spacing w:before="0" w:beforeAutospacing="off" w:after="0" w:afterAutospacing="off"/>
      </w:pPr>
    </w:p>
    <w:p w:rsidR="60FEE886" w:rsidP="5082A315" w:rsidRDefault="60FEE886" w14:paraId="0096A7C5" w14:textId="0B41AA32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W świetle obowiązujących przepisów sama zgodność opakowania z normą 12875 (odporność naczyń kuchennych na mechaniczne zmywanie) może okazać się niewystarczająca do uznania że dane opakowanie – dotychczas produkowane jako jednorazowego użytku, mogłoby być traktowane obecnie jako opakowanie wielokrotnego użytku. </w:t>
      </w:r>
    </w:p>
    <w:p w:rsidR="60FEE886" w:rsidP="5082A315" w:rsidRDefault="60FEE886" w14:paraId="210E9DEF" w14:textId="6A5E0F8A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</w:p>
    <w:p w:rsidR="60FEE886" w:rsidP="5082A315" w:rsidRDefault="60FEE886" w14:paraId="62553004" w14:textId="7F2F6376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Wyjaśnienia dot. „wielokrotnego użytku” przedstawione Wytycznych Komisji UE wydanych do Dyrektywy SUP (pkt. 2.2.2. i 2.2.3) wskazują dwie przesłanki uznania danego opakowania za opakowanie wielokrotnego użytku:</w:t>
      </w:r>
    </w:p>
    <w:p w:rsidR="60FEE886" w:rsidP="5082A315" w:rsidRDefault="60FEE886" w14:paraId="0E1846AC" w14:textId="1088767B">
      <w:pPr>
        <w:shd w:val="clear" w:color="auto" w:fill="FFFFFF" w:themeFill="background1"/>
        <w:spacing w:before="0" w:beforeAutospacing="off" w:after="0" w:afterAutospacing="off" w:line="220" w:lineRule="auto"/>
        <w:ind w:left="720" w:right="0" w:hanging="360"/>
      </w:pPr>
      <w:r w:rsidRPr="5082A315" w:rsidR="60FEE886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-</w:t>
      </w:r>
      <w:r w:rsidRPr="5082A315" w:rsidR="60FEE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</w:t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okres funkcjonalności czyli czy dane opakowanie jest przeznaczone do tego aby wykorzystać go kilkukrotnie przed ostatecznym unieszkodliwieniem bez utraty funkcjonalności, fizycznych możliwości lub jakości produktu, oraz czy został w ten sposób zaprojektowany, oraz</w:t>
      </w:r>
    </w:p>
    <w:p w:rsidR="60FEE886" w:rsidP="5082A315" w:rsidRDefault="60FEE886" w14:paraId="49B4698C" w14:textId="7ABED4C5">
      <w:pPr>
        <w:shd w:val="clear" w:color="auto" w:fill="FFFFFF" w:themeFill="background1"/>
        <w:spacing w:before="0" w:beforeAutospacing="off" w:after="160" w:afterAutospacing="off" w:line="220" w:lineRule="auto"/>
        <w:ind w:left="720" w:right="0" w:hanging="360"/>
      </w:pPr>
      <w:r w:rsidRPr="5082A315" w:rsidR="60FEE886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-</w:t>
      </w:r>
      <w:r w:rsidRPr="5082A315" w:rsidR="60FEE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</w:t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czy konsumenci zazwyczaj przeznaczają, postrzegają i wykorzystują dane opakowanie jako produkt wielokrotnego użytku</w:t>
      </w:r>
    </w:p>
    <w:p w:rsidR="60FEE886" w:rsidP="5082A315" w:rsidRDefault="60FEE886" w14:paraId="4DCA7D43" w14:textId="0F0A9157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Ponadto wytyczne w tym zakresie przywołują przepisy Dyrektywy 94/62/WE z dnia 20.12.1994 r.</w:t>
      </w:r>
      <w:r>
        <w:br/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w sprawie opakowań i odpadów opakowaniowych oraz normy zharmonizowanej EN 13429:2004 - Opakowania — Opakowania wielokrotnego użytku zgodnie z którymi wymagania przydatności opakowań do wielokrotnego użytku są następujące:</w:t>
      </w:r>
    </w:p>
    <w:p w:rsidR="60FEE886" w:rsidP="5082A315" w:rsidRDefault="60FEE886" w14:paraId="26B958C2" w14:textId="61D8E4D7">
      <w:pPr>
        <w:shd w:val="clear" w:color="auto" w:fill="FFFFFF" w:themeFill="background1"/>
        <w:spacing w:before="0" w:beforeAutospacing="off" w:after="0" w:afterAutospacing="off" w:line="220" w:lineRule="auto"/>
        <w:ind w:left="720" w:right="0" w:hanging="360"/>
      </w:pPr>
      <w:r w:rsidRPr="5082A315" w:rsidR="60FEE886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-</w:t>
      </w:r>
      <w:r w:rsidRPr="5082A315" w:rsidR="60FEE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</w:t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zamiar wielokrotnego wykorzystania opakowania (tj. celowe zaprojektowanie, przeznaczenie i wprowadzenie do obrotu),</w:t>
      </w:r>
    </w:p>
    <w:p w:rsidR="60FEE886" w:rsidP="5082A315" w:rsidRDefault="60FEE886" w14:paraId="152DEEE7" w14:textId="42DF4FBC">
      <w:pPr>
        <w:shd w:val="clear" w:color="auto" w:fill="FFFFFF" w:themeFill="background1"/>
        <w:spacing w:before="0" w:beforeAutospacing="off" w:after="0" w:afterAutospacing="off" w:line="220" w:lineRule="auto"/>
        <w:ind w:left="720" w:right="0" w:hanging="360"/>
      </w:pPr>
      <w:r w:rsidRPr="5082A315" w:rsidR="60FEE886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-</w:t>
      </w:r>
      <w:r w:rsidRPr="5082A315" w:rsidR="60FEE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</w:t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projekt opakowania umożliwiający osiągnięcie wielokrotnej rotacji,</w:t>
      </w:r>
    </w:p>
    <w:p w:rsidR="60FEE886" w:rsidP="5082A315" w:rsidRDefault="60FEE886" w14:paraId="3689CBF0" w14:textId="20A10BB2">
      <w:pPr>
        <w:shd w:val="clear" w:color="auto" w:fill="FFFFFF" w:themeFill="background1"/>
        <w:spacing w:before="0" w:beforeAutospacing="off" w:after="0" w:afterAutospacing="off" w:line="220" w:lineRule="auto"/>
        <w:ind w:left="720" w:right="0" w:hanging="360"/>
      </w:pPr>
      <w:r w:rsidRPr="5082A315" w:rsidR="60FEE886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-</w:t>
      </w:r>
      <w:r w:rsidRPr="5082A315" w:rsidR="60FEE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</w:t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opakowanie można opróżnić/rozładować bez znacznych uszkodzeń i bez zagrożenia dla integralności produktu, zdrowia i bezpieczeństwa,</w:t>
      </w:r>
    </w:p>
    <w:p w:rsidR="60FEE886" w:rsidP="5082A315" w:rsidRDefault="60FEE886" w14:paraId="186B0201" w14:textId="03230370">
      <w:pPr>
        <w:shd w:val="clear" w:color="auto" w:fill="FFFFFF" w:themeFill="background1"/>
        <w:spacing w:before="0" w:beforeAutospacing="off" w:after="0" w:afterAutospacing="off" w:line="220" w:lineRule="auto"/>
        <w:ind w:left="720" w:right="0" w:hanging="360"/>
      </w:pPr>
      <w:r w:rsidRPr="5082A315" w:rsidR="60FEE886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-</w:t>
      </w:r>
      <w:r w:rsidRPr="5082A315" w:rsidR="60FEE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</w:t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opakowanie można odtworzyć, wyczyścić, umyć, naprawić przy jednoczesnym utrzymaniu jego pierwotnej funkcjonalności,</w:t>
      </w:r>
    </w:p>
    <w:p w:rsidR="60FEE886" w:rsidP="5082A315" w:rsidRDefault="60FEE886" w14:paraId="59C6A6CE" w14:textId="224E2A62">
      <w:pPr>
        <w:shd w:val="clear" w:color="auto" w:fill="FFFFFF" w:themeFill="background1"/>
        <w:spacing w:before="0" w:beforeAutospacing="off" w:after="160" w:afterAutospacing="off" w:line="220" w:lineRule="auto"/>
        <w:ind w:left="720" w:right="0" w:hanging="360"/>
      </w:pPr>
      <w:r w:rsidRPr="5082A315" w:rsidR="60FEE886"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-</w:t>
      </w:r>
      <w:r w:rsidRPr="5082A315" w:rsidR="60FEE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</w:t>
      </w: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obowiązują ustalenia umożliwiające wielokrotne wykorzystanie, tj. ustanowiono i uruchomiono system wielokrotnego wykorzystania.</w:t>
      </w:r>
    </w:p>
    <w:p w:rsidR="60FEE886" w:rsidP="5082A315" w:rsidRDefault="60FEE886" w14:paraId="1EEB3BB6" w14:textId="6ACF42AA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Powyższe zapisy Dyrektywy opakowaniowej i przywołanej normy mają odzwierciedlenie przepisach krajowych tj. art. 8 pkt 10 oraz 11 i 13 Ustawy z dnia 13 czerwca 2013r. o gospodarce opakowaniami i odpadami opakowaniowymi, a także polskiej normie PN-EN 13429 pt. ”Opakowania. Wielokrotne użycie”.</w:t>
      </w:r>
    </w:p>
    <w:p w:rsidR="60FEE886" w:rsidP="5082A315" w:rsidRDefault="60FEE886" w14:paraId="74E227D2" w14:textId="42B950CC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</w:p>
    <w:p w:rsidR="60FEE886" w:rsidP="5082A315" w:rsidRDefault="60FEE886" w14:paraId="22B8F3F4" w14:textId="332CF8B5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Zarówno przepisy unijne jak i krajowe, wymagają od przedsiębiorców korzystających z opakowań wielokrotnego użytku ustanowienia systemów wielokrotnego wykorzystania tych opakowań (system obiegu zamkniętego; system obiegu otwartego lub system mieszany)</w:t>
      </w:r>
    </w:p>
    <w:p w:rsidR="60FEE886" w:rsidP="5082A315" w:rsidRDefault="60FEE886" w14:paraId="433C0B00" w14:textId="5C0BC620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</w:p>
    <w:p w:rsidR="60FEE886" w:rsidP="5082A315" w:rsidRDefault="60FEE886" w14:paraId="1CECF6F6" w14:textId="20943A88">
      <w:pPr>
        <w:shd w:val="clear" w:color="auto" w:fill="FFFFFF" w:themeFill="background1"/>
        <w:spacing w:before="0" w:beforeAutospacing="off" w:after="0" w:afterAutospacing="off"/>
      </w:pPr>
      <w:r w:rsidRPr="5082A315" w:rsidR="60FEE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pl-PL"/>
        </w:rPr>
        <w:t>Podsumowując przeprowadzenie testów zgodności z normą 12875 będzie niewystarczające dla uznania danego produktu jako opakowania wielokrotnego użytku. Produkty takie powinny być zaprojektowane i wyprodukowane jako opakowania wielokrotnego użytku, tak powinny być traktowane przez konsumentów oraz powinny spełniać wymogi normy zharmonizowaną EN 13429:2004 - Opakowania — Opakowania wielokrotnego użytku. Co istotne zakwestionowanie przez organ kontrolujący opinii dostawcy w zakresie charakterystyki opakowania jako wielokrotnego użytku nie zwolni spółki sklepowej z ewentualnej kary administracyjnej.</w:t>
      </w:r>
    </w:p>
    <w:p w:rsidR="5082A315" w:rsidP="5082A315" w:rsidRDefault="5082A315" w14:paraId="3D7D3A7C" w14:textId="720E360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0C03BA"/>
    <w:rsid w:val="098636AC"/>
    <w:rsid w:val="16431F5C"/>
    <w:rsid w:val="168E48E6"/>
    <w:rsid w:val="3D3B2924"/>
    <w:rsid w:val="459E17B4"/>
    <w:rsid w:val="5082A315"/>
    <w:rsid w:val="60FEE886"/>
    <w:rsid w:val="620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03BA"/>
  <w15:chartTrackingRefBased/>
  <w15:docId w15:val="{6BAA3392-EF39-4AEF-A455-7C998431F8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A242B7A655845AE4E13BD641BBE9A" ma:contentTypeVersion="18" ma:contentTypeDescription="Utwórz nowy dokument." ma:contentTypeScope="" ma:versionID="0087bed2fcb71d43c09a6ad6ad5e03de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86583492553f49578ace40f0efdcfd07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3A9AD2-197B-4B55-A5C8-36BFE3673A93}"/>
</file>

<file path=customXml/itemProps2.xml><?xml version="1.0" encoding="utf-8"?>
<ds:datastoreItem xmlns:ds="http://schemas.openxmlformats.org/officeDocument/2006/customXml" ds:itemID="{DD02F677-1A49-463C-B641-03AFA28FA41C}"/>
</file>

<file path=customXml/itemProps3.xml><?xml version="1.0" encoding="utf-8"?>
<ds:datastoreItem xmlns:ds="http://schemas.openxmlformats.org/officeDocument/2006/customXml" ds:itemID="{60CD219C-71D8-4344-9FA0-E3F4430668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SOBOLEWSKI</dc:creator>
  <cp:keywords/>
  <dc:description/>
  <cp:lastModifiedBy>Lukasz SOBOLEWSKI</cp:lastModifiedBy>
  <dcterms:created xsi:type="dcterms:W3CDTF">2024-05-27T14:20:07Z</dcterms:created>
  <dcterms:modified xsi:type="dcterms:W3CDTF">2024-05-27T14:22:46Z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