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AE415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 w:rsidRPr="00AE4155">
        <w:rPr>
          <w:rFonts w:ascii="Arial" w:eastAsia="Times New Roman" w:hAnsi="Arial" w:cs="Arial"/>
          <w:sz w:val="20"/>
          <w:szCs w:val="20"/>
        </w:rPr>
        <w:t>ZAŁĄCZNIK NR 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A978DE" w:rsidRPr="00A978DE" w:rsidRDefault="000E62D5" w:rsidP="00A978DE">
            <w:pPr>
              <w:pStyle w:val="Nagwek3"/>
              <w:rPr>
                <w:color w:val="FF0000"/>
              </w:rPr>
            </w:pPr>
            <w:r w:rsidRPr="00A978D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pojazdu śmieciarki do zbiórki odpadów komunalnych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>Dz.U.2022.1083 o DMC 8,55</w:t>
            </w:r>
          </w:p>
          <w:p w:rsidR="000E62D5" w:rsidRPr="005A3725" w:rsidRDefault="000E62D5" w:rsidP="000E62D5">
            <w:pPr>
              <w:tabs>
                <w:tab w:val="left" w:pos="720"/>
              </w:tabs>
              <w:spacing w:before="57" w:after="57" w:line="100" w:lineRule="atLeast"/>
              <w:ind w:left="17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E04D49" w:rsidRPr="005A3725" w:rsidTr="00C3067B">
        <w:tc>
          <w:tcPr>
            <w:tcW w:w="567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04D49" w:rsidRPr="005A3725" w:rsidRDefault="00E04D4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nowy lub używany</w:t>
            </w:r>
          </w:p>
        </w:tc>
        <w:tc>
          <w:tcPr>
            <w:tcW w:w="1276" w:type="dxa"/>
            <w:vAlign w:val="center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30 pkt. za nowy</w:t>
            </w:r>
          </w:p>
        </w:tc>
        <w:tc>
          <w:tcPr>
            <w:tcW w:w="2268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Podwozie</w:t>
            </w:r>
            <w:r w:rsidR="00957ED6" w:rsidRPr="005A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4x2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957ED6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Przebieg maksymalny</w:t>
            </w:r>
          </w:p>
        </w:tc>
        <w:tc>
          <w:tcPr>
            <w:tcW w:w="1276" w:type="dxa"/>
            <w:vAlign w:val="center"/>
          </w:tcPr>
          <w:p w:rsidR="00957ED6" w:rsidRPr="005A3725" w:rsidRDefault="00745EB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80</w:t>
            </w:r>
            <w:r w:rsidR="00820C62" w:rsidRPr="005A3725">
              <w:rPr>
                <w:rFonts w:ascii="Arial" w:hAnsi="Arial" w:cs="Arial"/>
                <w:sz w:val="20"/>
                <w:szCs w:val="20"/>
              </w:rPr>
              <w:t> 000 km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437C95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wyprodukowany w roku 201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 lub nowszy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745EB7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Maksymalna</w:t>
            </w:r>
            <w:r w:rsidR="00AA7E63" w:rsidRPr="005A372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opuszc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zalna masa całkowita podwozia </w:t>
            </w:r>
            <w:r w:rsidR="00A978DE">
              <w:rPr>
                <w:rFonts w:ascii="Arial" w:hAnsi="Arial" w:cs="Arial"/>
                <w:sz w:val="20"/>
                <w:szCs w:val="20"/>
              </w:rPr>
              <w:t>8</w:t>
            </w: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="00A978DE">
              <w:rPr>
                <w:rFonts w:ascii="Arial" w:hAnsi="Arial" w:cs="Arial"/>
                <w:sz w:val="20"/>
                <w:szCs w:val="20"/>
              </w:rPr>
              <w:t>5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0 kg;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745EB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Kabina, minimum 2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 xml:space="preserve">-miejscowa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 xml:space="preserve">zasilany </w:t>
            </w:r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paliwem alternatywnym </w:t>
            </w:r>
            <w:r w:rsidR="0030333A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postaci CNG </w:t>
            </w:r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spełniającym warunki ustawy o </w:t>
            </w:r>
            <w:proofErr w:type="spellStart"/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rFonts w:ascii="Arial" w:hAnsi="Arial" w:cs="Arial"/>
                <w:color w:val="000000" w:themeColor="text1"/>
                <w:sz w:val="20"/>
              </w:rPr>
              <w:t>Dz.U.2022.1083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Minimalna pojemność skokowa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28</w:t>
            </w:r>
            <w:r w:rsidRPr="005A3725">
              <w:rPr>
                <w:rFonts w:ascii="Arial" w:hAnsi="Arial" w:cs="Arial"/>
                <w:sz w:val="20"/>
                <w:szCs w:val="20"/>
              </w:rPr>
              <w:t>00 cm</w:t>
            </w:r>
            <w:r w:rsidRPr="005A37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A00F9E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Minimalna moc </w:t>
            </w:r>
            <w:r w:rsidRPr="001771D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D400A" w:rsidRPr="001771D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1771D1">
              <w:rPr>
                <w:rFonts w:ascii="Arial" w:hAnsi="Arial" w:cs="Arial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Minimalny moment obrotowy 300Nm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Skrzynia biegów automatyczna lub manualna</w:t>
            </w:r>
          </w:p>
        </w:tc>
        <w:tc>
          <w:tcPr>
            <w:tcW w:w="1276" w:type="dxa"/>
          </w:tcPr>
          <w:p w:rsidR="00A00F9E" w:rsidRPr="005A3725" w:rsidRDefault="006E5FF2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BB78FE" w:rsidRPr="005A3725">
              <w:rPr>
                <w:rFonts w:ascii="Arial" w:hAnsi="Arial" w:cs="Arial"/>
                <w:sz w:val="20"/>
                <w:szCs w:val="20"/>
              </w:rPr>
              <w:t>ów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za automatyczną skrzynię biegów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oleju oraz filtrów w przypadku skrzyni hydraulicznej w  ostatnich 10 000km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materiałów eksploatacyjnych podwozia w okresie ostatnich 5 000km (filtry oleju, paliwa, powietrza, systemu osuszania powietrza w układzie pneumatycznym(jeśli występuje), olej silnikowy itp.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Przystawka odbioru mocy spełniająca wymogi zabudowy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Koła bliźniacze na 2 osi.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 pkt.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pokładowy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Koło kierownicy z </w:t>
            </w:r>
            <w:r w:rsidR="003D4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regulacją </w:t>
            </w:r>
            <w:r w:rsidR="003D400A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w minimum jednej płaszczyźnie (osi)</w:t>
            </w: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Klimatyzacja;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Podać promień zawracania od krawężnika do krawężnika </w:t>
            </w:r>
          </w:p>
        </w:tc>
        <w:tc>
          <w:tcPr>
            <w:tcW w:w="1276" w:type="dxa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pkt. za </w:t>
            </w:r>
            <w:r w:rsidR="00D44740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naj</w:t>
            </w: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mniejszy promień zawracania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pojemność skrzyni ładunkowej</w:t>
            </w:r>
          </w:p>
        </w:tc>
        <w:tc>
          <w:tcPr>
            <w:tcW w:w="1276" w:type="dxa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pkt. za </w:t>
            </w:r>
            <w:r w:rsidR="00D44740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naj</w:t>
            </w: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większą pojemność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30333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dopuszczalną ładowność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18162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pojemność zbiornika paliwa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18162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rodzaj złącza tankowania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E8139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F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instalacja zasilania CNG jest instalacją fabryczną </w:t>
            </w:r>
          </w:p>
        </w:tc>
        <w:tc>
          <w:tcPr>
            <w:tcW w:w="1276" w:type="dxa"/>
          </w:tcPr>
          <w:p w:rsidR="00E8139D" w:rsidRPr="00310F17" w:rsidRDefault="00E8139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F17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Oświetlenie zgodne z przepisami ruchu drogowego,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dwa komplety kluczyków umożliwiając</w:t>
            </w:r>
            <w:r w:rsidR="00F02EDD">
              <w:rPr>
                <w:rFonts w:ascii="Arial" w:hAnsi="Arial" w:cs="Arial"/>
                <w:color w:val="000000" w:themeColor="text1"/>
                <w:sz w:val="20"/>
                <w:szCs w:val="20"/>
              </w:rPr>
              <w:t>ych otwarcie i rozruch pojazdu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Pomarańczowe światło ostrzegawcze w przedniej części pojazdu</w:t>
            </w:r>
          </w:p>
        </w:tc>
        <w:tc>
          <w:tcPr>
            <w:tcW w:w="1276" w:type="dxa"/>
          </w:tcPr>
          <w:p w:rsidR="00A00F9E" w:rsidRPr="005A3725" w:rsidRDefault="00226C7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Tachograf cyfrowy;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Radio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Ostrzegawczy sygnał dźwiękowy, włączany wraz z uruchomieniem biegu wstecznego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Gniazdo zapalniczki </w:t>
            </w:r>
            <w:r w:rsidR="00BB78FE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12V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min. 1 szt.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Trójkąt ostrzegawczy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Gaśnica proszkowa</w:t>
            </w:r>
            <w:r w:rsidRPr="005A372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6kg. </w:t>
            </w: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produkcji polskiej z uchwytem,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 spełniająca wymogi normy DIN 13164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80"/>
        <w:gridCol w:w="2264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5A3725" w:rsidRDefault="00B3554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Zabudowa skrzyniowa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tylnym urządzeniem załadowczym, przeznaczona do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zbierania worków oraz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opróżniania pojemników z gromadzonymi w nich odpadami komunalnym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 (opakowania z tworzyw sztucznych, szkła, papieru,  bioodpadów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odpadów resztkowych) i transportu tych 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6E5FF2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3554D" w:rsidRPr="005A3725" w:rsidRDefault="0079039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B3554D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ampy ostrzegawcze w tylnej, górnej części zabudowy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System zgniotu liniowo-płytowy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wyłączenia zabezpieczeń  na linii podwozie zabudowa przywracające pełną mobilność podwozia  celu zjazdu z rejonu  w przypadku awarii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Wymagane obsługiwanie wymienionych cykli zagęszczania odpadów: automatyczny, ręczny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Spust do odprowadzania odcieków z zaworem kulowym i szybkozłączem w odwłoku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78FE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BB78FE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minimalna 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skrzyni ładunkowej  5m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78FE" w:rsidRPr="005A3725" w:rsidRDefault="00C341C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E537F0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PODNOŚNIK POJEMNIKÓW </w:t>
            </w: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537F0" w:rsidRPr="005A3725" w:rsidRDefault="00914DAF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37F0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umożliwiający opróżnianie pojemników  60 l, 120 l, 240 l, 660l, 1100l </w:t>
            </w:r>
          </w:p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Obsługiwane typy pojemników 60 l, 120 l, 240 l,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660 l, 1100 l (zgodnych z normą PN-EN840)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Otwieracz do półokrągłych  klap pojemników 1100l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Ramiona do pojemników 4 kołowych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ELEMENTY STERUJĄCE NA ZEWNĄTRZ POJAZDU</w:t>
            </w: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ELEMENTY STERUJACE URZĄ</w:t>
            </w:r>
            <w:r w:rsidR="00002674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DZENIEM ZASYPOWYM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jeden hermetyczny  pulpit sterowniczy z prawej tylnej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części urządzenia zasypowego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Nie dopuszcza się stosowania joysticków wielofunkcyjnych w panelach sterowniczych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Wybór rodzaju pojemnika (jeśli pojemnik nie jest rozpoznawany automatycznie</w:t>
            </w:r>
            <w:r w:rsidR="0015709A"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dopuszcza się ręcznie</w:t>
            </w:r>
            <w:r w:rsidR="00310F17"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wybór </w:t>
            </w:r>
            <w:r w:rsidR="0015709A"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otwierania klap pojemników 1100</w:t>
            </w:r>
            <w:r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(na panelu sterowniczym aparatu zasypowego)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203ACC">
            <w:pPr>
              <w:suppressAutoHyphens w:val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sterowania automatycznego oraz ręcznego wszystkimi cyklami pracy odwłoku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Funkcja wytrząsania pojemników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Opcja punktowana 1pkt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STEROWANIE AWARYJNE W PRZYPADKU </w:t>
            </w:r>
            <w:r w:rsidR="00002674" w:rsidRPr="005A37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AWARII STEROWANIA STANDARDOWEGO (bezpośrednio przy pomocy układu hydraulicznego)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podniesieniem i opuszczeniem odwłoka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wsuwania i wysuwania płyty wypychowej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ELEMENT STERUJĄCY OPUSZCZANIEM ODWŁOKA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  <w:r w:rsidRPr="005A3725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 stronie lewej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ELEMENTY  STERUJĄCE  KONTROLNE W KABINIE KIEROWCY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Wyłącznik awaryjny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POZOSTAŁE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Oświetlenie robocze zasypu – minimum jeden reflektor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Dodatkowe lampy podstawowe do ruchu drogowego tylne zdublowane na górnej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2B3858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Dostawa śmiecia</w:t>
            </w:r>
            <w:r w:rsidR="002B3858">
              <w:rPr>
                <w:rFonts w:ascii="Arial" w:hAnsi="Arial" w:cs="Arial"/>
                <w:sz w:val="20"/>
                <w:szCs w:val="20"/>
                <w:lang w:eastAsia="pl-PL"/>
              </w:rPr>
              <w:t>rki w terminie do 10 tygodni od daty zawarcia umowy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maks.5 pkt.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 1 punkcie za każdy tydzień skrócenia terminu dostawy</w:t>
            </w: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posiadać ważne badanie techniczne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być zarejestrowany lub  przygotowany do rejestracji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przypadku pojazdu używanego z ofertą należy załączyć zdjęcia pojazdu przedstawiające pojazd ze wszystkich 4 stron oraz zdjęcia wnętrza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31EC1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Wymagane oświadczenie o gotowości do świadczenia usług serwisowych. Serwis powinien obejmować wszystkie elementy zabudowy i być świadczony w czasie 72 godzin od zgłoszenia przez okres gwarancji (w przypadku zaoferowania pojazdu nowego, wymaga się udzielenia min, 24 miesięcy gwarancji) lub przez okres 12 miesięcy (w przypadku zaoferowania pojazdu używanego)</w:t>
            </w:r>
            <w:r w:rsidR="00446C4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od daty wystawienia faktury</w:t>
            </w:r>
            <w:bookmarkEnd w:id="0"/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Pojazd powinien zostać dostarczony z listą rodzajów oraz ilości płynów eksploatacyjnych znajdujących się w poszczególnych układach pojazdów w formie odpowiedniego wykazu skumulowanego na kartkach formatu A4 (olej silnikowy, olej w układzie wspomagania, olej w skrzyni biegów, olej w tylnym moście, olej hydrauliczny zabudowy).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przednią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tylną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B331A6" w:rsidRDefault="00B331A6" w:rsidP="00B3554D">
      <w:pPr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266B00">
      <w:footerReference w:type="default" r:id="rId9"/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37" w:rsidRDefault="00560F37">
      <w:r>
        <w:separator/>
      </w:r>
    </w:p>
  </w:endnote>
  <w:endnote w:type="continuationSeparator" w:id="0">
    <w:p w:rsidR="00560F37" w:rsidRDefault="0056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358D94" wp14:editId="788550F0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71D1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771D1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37" w:rsidRDefault="00560F37">
      <w:r>
        <w:separator/>
      </w:r>
    </w:p>
  </w:footnote>
  <w:footnote w:type="continuationSeparator" w:id="0">
    <w:p w:rsidR="00560F37" w:rsidRDefault="0056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8065B"/>
    <w:rsid w:val="00081EDD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2B2A"/>
    <w:rsid w:val="001256A7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C0282"/>
    <w:rsid w:val="001C192B"/>
    <w:rsid w:val="001C2019"/>
    <w:rsid w:val="001C72A3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94286"/>
    <w:rsid w:val="0039507A"/>
    <w:rsid w:val="0039699C"/>
    <w:rsid w:val="003A2C3C"/>
    <w:rsid w:val="003A6319"/>
    <w:rsid w:val="003B5EBF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74CA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BC3"/>
    <w:rsid w:val="00775E81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E79C0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B3137"/>
    <w:rsid w:val="008B3493"/>
    <w:rsid w:val="008B3D73"/>
    <w:rsid w:val="008B7BBE"/>
    <w:rsid w:val="008C4ECE"/>
    <w:rsid w:val="008D19BF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27AF"/>
    <w:rsid w:val="00A70B4C"/>
    <w:rsid w:val="00A70D09"/>
    <w:rsid w:val="00A766BD"/>
    <w:rsid w:val="00A87675"/>
    <w:rsid w:val="00A92409"/>
    <w:rsid w:val="00A93103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FB8"/>
    <w:rsid w:val="00AD27E2"/>
    <w:rsid w:val="00AD4E0A"/>
    <w:rsid w:val="00AD54CE"/>
    <w:rsid w:val="00AD6A04"/>
    <w:rsid w:val="00AE3ACA"/>
    <w:rsid w:val="00AE4155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DC0"/>
    <w:rsid w:val="00B61FCD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F2B"/>
    <w:rsid w:val="00BF7ACD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6E98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139D"/>
    <w:rsid w:val="00E8482A"/>
    <w:rsid w:val="00E84B9E"/>
    <w:rsid w:val="00E92F95"/>
    <w:rsid w:val="00E93FEA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A41D-7FCB-4221-972C-D166020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7134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21</cp:revision>
  <cp:lastPrinted>2022-05-17T09:41:00Z</cp:lastPrinted>
  <dcterms:created xsi:type="dcterms:W3CDTF">2023-01-30T09:13:00Z</dcterms:created>
  <dcterms:modified xsi:type="dcterms:W3CDTF">2023-01-31T09:06:00Z</dcterms:modified>
</cp:coreProperties>
</file>