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878CC72"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E14529">
        <w:rPr>
          <w:rFonts w:ascii="Cambria" w:hAnsi="Cambria" w:cs="Arial"/>
          <w:b/>
          <w:bCs/>
          <w:sz w:val="22"/>
          <w:szCs w:val="22"/>
        </w:rPr>
        <w:t>.1</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D092D24" w14:textId="77777777" w:rsidR="00BD398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BD398E">
        <w:rPr>
          <w:rFonts w:ascii="Cambria" w:hAnsi="Cambria" w:cs="Arial"/>
          <w:sz w:val="22"/>
          <w:szCs w:val="22"/>
          <w:lang w:eastAsia="pl-PL"/>
        </w:rPr>
        <w:t>Łosie z siedzibą w Łosie</w:t>
      </w:r>
      <w:r>
        <w:rPr>
          <w:rFonts w:ascii="Cambria" w:hAnsi="Cambria" w:cs="Arial"/>
          <w:sz w:val="22"/>
          <w:szCs w:val="22"/>
          <w:lang w:eastAsia="pl-PL"/>
        </w:rPr>
        <w:t xml:space="preserve"> („Zamawiający”)</w:t>
      </w:r>
    </w:p>
    <w:p w14:paraId="2D98B1E6" w14:textId="2825090E" w:rsidR="0013110C" w:rsidRDefault="00BD398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Łosie 39</w:t>
      </w:r>
      <w:r w:rsidR="0013110C">
        <w:rPr>
          <w:rFonts w:ascii="Cambria" w:hAnsi="Cambria" w:cs="Arial"/>
          <w:sz w:val="22"/>
          <w:szCs w:val="22"/>
          <w:lang w:eastAsia="pl-PL"/>
        </w:rPr>
        <w:t xml:space="preserve">; </w:t>
      </w:r>
    </w:p>
    <w:p w14:paraId="55ED8691" w14:textId="0C1A93C4" w:rsidR="0013110C" w:rsidRDefault="00BD398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38 – 312 Ropa</w:t>
      </w:r>
    </w:p>
    <w:p w14:paraId="1450437E" w14:textId="433AD27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BD398E">
        <w:rPr>
          <w:rFonts w:ascii="Cambria" w:hAnsi="Cambria" w:cs="Arial"/>
          <w:sz w:val="22"/>
          <w:szCs w:val="22"/>
          <w:lang w:eastAsia="pl-PL"/>
        </w:rPr>
        <w:t>738 000 67 44</w:t>
      </w:r>
      <w:bookmarkStart w:id="0" w:name="_GoBack"/>
      <w:bookmarkEnd w:id="0"/>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3562BF5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Pr>
          <w:rFonts w:ascii="Cambria" w:hAnsi="Cambria" w:cs="Arial"/>
          <w:sz w:val="22"/>
          <w:szCs w:val="22"/>
          <w:lang w:eastAsia="pl-PL"/>
        </w:rPr>
        <w:t>„</w:t>
      </w:r>
      <w:r w:rsidR="00DD60EF" w:rsidRPr="00DD60EF">
        <w:rPr>
          <w:rFonts w:ascii="Cambria" w:hAnsi="Cambria" w:cs="Arial"/>
          <w:bCs/>
          <w:sz w:val="22"/>
          <w:szCs w:val="22"/>
          <w:lang w:eastAsia="pl-PL"/>
        </w:rPr>
        <w:t>Wykonywanie usług leśnych z zakresu gospodarki szkółkarskiej na terenie Nadleśnictwa ________________________w roku _______________________ (Szkółka leśna _______________________)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_____________________ („Postępowanie”), na podstawie przepisów ustawy z dnia </w:t>
      </w:r>
      <w:r w:rsidRPr="00E14529">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E14529">
        <w:rPr>
          <w:rFonts w:ascii="Cambria" w:hAnsi="Cambria" w:cs="Arial"/>
          <w:sz w:val="22"/>
          <w:szCs w:val="22"/>
          <w:lang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E14529">
        <w:rPr>
          <w:rFonts w:ascii="Cambria" w:hAnsi="Cambria" w:cs="Arial"/>
          <w:sz w:val="22"/>
          <w:szCs w:val="22"/>
          <w:lang w:eastAsia="pl-PL"/>
        </w:rPr>
        <w:t>.</w:t>
      </w:r>
      <w:r w:rsidR="0092759C" w:rsidRPr="00E14529">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6C8660"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lastRenderedPageBreak/>
        <w:t xml:space="preserve">Zamawiający zleca, a Wykonawca przyjmuje do wykonania </w:t>
      </w:r>
      <w:r w:rsidRPr="00DD60EF">
        <w:rPr>
          <w:rFonts w:ascii="Cambria" w:hAnsi="Cambria" w:cs="Arial"/>
          <w:bCs/>
          <w:sz w:val="22"/>
          <w:szCs w:val="22"/>
          <w:lang w:eastAsia="pl-PL"/>
        </w:rPr>
        <w:t xml:space="preserve">usługi leśne z zakresu gospodarki szkółkarskiej na terenie Nadleśnictwa </w:t>
      </w:r>
      <w:r w:rsidR="00E14529">
        <w:rPr>
          <w:rFonts w:ascii="Cambria" w:hAnsi="Cambria" w:cs="Arial"/>
          <w:bCs/>
          <w:sz w:val="22"/>
          <w:szCs w:val="22"/>
          <w:lang w:eastAsia="pl-PL"/>
        </w:rPr>
        <w:t xml:space="preserve">Łosie </w:t>
      </w:r>
      <w:r w:rsidRPr="00DD60EF">
        <w:rPr>
          <w:rFonts w:ascii="Cambria" w:hAnsi="Cambria" w:cs="Arial"/>
          <w:bCs/>
          <w:sz w:val="22"/>
          <w:szCs w:val="22"/>
          <w:lang w:eastAsia="pl-PL"/>
        </w:rPr>
        <w:t xml:space="preserve"> </w:t>
      </w:r>
      <w:r w:rsidR="00E14529">
        <w:rPr>
          <w:rFonts w:ascii="Cambria" w:hAnsi="Cambria" w:cs="Arial"/>
          <w:sz w:val="22"/>
          <w:szCs w:val="22"/>
          <w:lang w:eastAsia="pl-PL"/>
        </w:rPr>
        <w:t>(Szkółka Leśna Leśnictwo Ropa</w:t>
      </w:r>
      <w:r w:rsidRPr="00DD60EF">
        <w:rPr>
          <w:rFonts w:ascii="Cambria" w:hAnsi="Cambria" w:cs="Arial"/>
          <w:sz w:val="22"/>
          <w:szCs w:val="22"/>
          <w:lang w:eastAsia="pl-PL"/>
        </w:rPr>
        <w:t xml:space="preserve">)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E14529">
        <w:rPr>
          <w:rFonts w:ascii="Cambria" w:hAnsi="Cambria" w:cs="Arial"/>
          <w:sz w:val="22"/>
          <w:szCs w:val="22"/>
          <w:lang w:eastAsia="pl-PL"/>
        </w:rPr>
        <w:t>i</w:t>
      </w:r>
      <w:proofErr w:type="spellEnd"/>
      <w:r w:rsidRPr="00E14529">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4005191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35BF138"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3"/>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Stewardship</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A83673">
        <w:rPr>
          <w:rFonts w:ascii="Cambria" w:hAnsi="Cambria" w:cs="Arial"/>
          <w:i/>
          <w:iCs/>
          <w:sz w:val="22"/>
          <w:szCs w:val="22"/>
          <w:lang w:eastAsia="pl-PL"/>
        </w:rPr>
        <w:t>Programme</w:t>
      </w:r>
      <w:proofErr w:type="spellEnd"/>
      <w:r w:rsidRPr="00A83673">
        <w:rPr>
          <w:rFonts w:ascii="Cambria" w:hAnsi="Cambria" w:cs="Arial"/>
          <w:i/>
          <w:iCs/>
          <w:sz w:val="22"/>
          <w:szCs w:val="22"/>
          <w:lang w:eastAsia="pl-PL"/>
        </w:rPr>
        <w:t xml:space="preserve"> for the </w:t>
      </w:r>
      <w:proofErr w:type="spellStart"/>
      <w:r w:rsidRPr="00A83673">
        <w:rPr>
          <w:rFonts w:ascii="Cambria" w:hAnsi="Cambria" w:cs="Arial"/>
          <w:i/>
          <w:iCs/>
          <w:sz w:val="22"/>
          <w:szCs w:val="22"/>
          <w:lang w:eastAsia="pl-PL"/>
        </w:rPr>
        <w:t>Endorsement</w:t>
      </w:r>
      <w:proofErr w:type="spellEnd"/>
      <w:r w:rsidRPr="00A83673">
        <w:rPr>
          <w:rFonts w:ascii="Cambria" w:hAnsi="Cambria" w:cs="Arial"/>
          <w:i/>
          <w:iCs/>
          <w:sz w:val="22"/>
          <w:szCs w:val="22"/>
          <w:lang w:eastAsia="pl-PL"/>
        </w:rPr>
        <w:t xml:space="preserve"> of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Certification</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E14529">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t>
      </w:r>
      <w:r>
        <w:rPr>
          <w:rFonts w:ascii="Cambria" w:hAnsi="Cambria" w:cs="Arial"/>
          <w:sz w:val="22"/>
          <w:szCs w:val="22"/>
          <w:lang w:eastAsia="pl-PL"/>
        </w:rPr>
        <w:lastRenderedPageBreak/>
        <w:t>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BBE70E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1F69F81F"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w:t>
      </w:r>
      <w:r>
        <w:rPr>
          <w:rFonts w:ascii="Cambria" w:eastAsia="Calibri" w:hAnsi="Cambria" w:cs="Arial"/>
          <w:sz w:val="22"/>
          <w:szCs w:val="22"/>
          <w:lang w:eastAsia="en-US"/>
        </w:rPr>
        <w:lastRenderedPageBreak/>
        <w:t xml:space="preserve">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t>
      </w:r>
      <w:r>
        <w:rPr>
          <w:rFonts w:ascii="Cambria" w:hAnsi="Cambria" w:cs="Arial"/>
          <w:sz w:val="22"/>
          <w:szCs w:val="22"/>
          <w:lang w:eastAsia="pl-PL"/>
        </w:rPr>
        <w:lastRenderedPageBreak/>
        <w:t xml:space="preserve">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59A3CC8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w:t>
      </w:r>
      <w:r w:rsidR="00D01A8B">
        <w:rPr>
          <w:rFonts w:ascii="Cambria" w:hAnsi="Cambria" w:cs="Arial"/>
          <w:sz w:val="22"/>
          <w:szCs w:val="22"/>
          <w:lang w:eastAsia="pl-PL"/>
        </w:rPr>
        <w:t>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Pr="00D03DED" w:rsidRDefault="0013110C" w:rsidP="00225ACD">
      <w:pPr>
        <w:numPr>
          <w:ilvl w:val="0"/>
          <w:numId w:val="21"/>
        </w:numPr>
        <w:suppressAutoHyphens w:val="0"/>
        <w:spacing w:before="120"/>
        <w:ind w:left="567" w:hanging="567"/>
        <w:jc w:val="both"/>
        <w:rPr>
          <w:rFonts w:ascii="Cambria" w:hAnsi="Cambria" w:cs="Arial"/>
          <w:sz w:val="22"/>
          <w:szCs w:val="22"/>
          <w:highlight w:val="yellow"/>
          <w:lang w:eastAsia="pl-PL"/>
        </w:rPr>
      </w:pPr>
      <w:r w:rsidRPr="00D03DED">
        <w:rPr>
          <w:rFonts w:ascii="Cambria" w:hAnsi="Cambria" w:cs="Arial"/>
          <w:sz w:val="22"/>
          <w:szCs w:val="22"/>
          <w:highlight w:val="yellow"/>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D03DED">
        <w:rPr>
          <w:rFonts w:ascii="Cambria" w:hAnsi="Cambria" w:cs="Arial"/>
          <w:sz w:val="22"/>
          <w:szCs w:val="22"/>
          <w:highlight w:val="yellow"/>
          <w:lang w:eastAsia="pl-PL"/>
        </w:rPr>
        <w:t>Za chwilę doręczenia ustrukturyzowanej</w:t>
      </w:r>
      <w:r>
        <w:rPr>
          <w:rFonts w:ascii="Cambria" w:hAnsi="Cambria" w:cs="Arial"/>
          <w:sz w:val="22"/>
          <w:szCs w:val="22"/>
          <w:lang w:eastAsia="pl-PL"/>
        </w:rPr>
        <w:t xml:space="preserve"> faktury elektronicznej uznawać się będzie chwilę wprowadzenia prawidłowo wystawionej faktury, zawierającej wszystkie elementy, o których mowa w ust. </w:t>
      </w:r>
      <w:r w:rsidRPr="00E14529">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Pr="00D03DED">
        <w:rPr>
          <w:rFonts w:ascii="Cambria" w:hAnsi="Cambria" w:cs="Arial"/>
          <w:sz w:val="22"/>
          <w:szCs w:val="22"/>
          <w:highlight w:val="yellow"/>
          <w:lang w:eastAsia="pl-PL"/>
        </w:rPr>
        <w:t>________________________________.</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25BF0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24C39CF"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D03DED">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19BDA49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F47E4">
        <w:rPr>
          <w:rFonts w:ascii="Cambria" w:hAnsi="Cambria" w:cs="Arial"/>
          <w:sz w:val="22"/>
          <w:szCs w:val="22"/>
          <w:lang w:eastAsia="pl-PL"/>
        </w:rPr>
        <w:t>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0" w:name="_Hlk43745153"/>
      <w:r>
        <w:rPr>
          <w:rFonts w:ascii="Cambria" w:hAnsi="Cambria" w:cs="Arial"/>
          <w:sz w:val="22"/>
          <w:szCs w:val="22"/>
          <w:lang w:eastAsia="pl-PL"/>
        </w:rPr>
        <w:t>Zmiana nie może pociągnąć za sobą zwiększenia wynagrodzenia należnego Wykonawcy</w:t>
      </w:r>
      <w:bookmarkEnd w:id="1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w:t>
      </w:r>
      <w:r>
        <w:rPr>
          <w:rFonts w:ascii="Cambria" w:hAnsi="Cambria" w:cs="Arial"/>
          <w:sz w:val="22"/>
          <w:szCs w:val="22"/>
          <w:lang w:eastAsia="pl-PL"/>
        </w:rPr>
        <w:lastRenderedPageBreak/>
        <w:t xml:space="preserve">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Pr>
          <w:rFonts w:ascii="Cambria" w:hAnsi="Cambria" w:cs="Arial"/>
          <w:sz w:val="22"/>
          <w:szCs w:val="22"/>
          <w:lang w:eastAsia="en-US"/>
        </w:rPr>
        <w:lastRenderedPageBreak/>
        <w:t>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Pr="000F2DE7"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highlight w:val="yellow"/>
          <w:lang w:eastAsia="pl-PL"/>
        </w:rPr>
      </w:pPr>
      <w:r w:rsidRPr="000F2DE7">
        <w:rPr>
          <w:rFonts w:ascii="Cambria" w:hAnsi="Cambria" w:cs="Arial"/>
          <w:sz w:val="22"/>
          <w:szCs w:val="22"/>
          <w:highlight w:val="yellow"/>
          <w:lang w:eastAsia="pl-PL"/>
        </w:rPr>
        <w:t>Załącznik nr 1 –SWZ (wraz ze wszystkimi załącznikami);</w:t>
      </w:r>
    </w:p>
    <w:p w14:paraId="78AE8B40" w14:textId="2D16E21D" w:rsidR="0013110C" w:rsidRPr="000F2DE7"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highlight w:val="yellow"/>
          <w:lang w:eastAsia="pl-PL"/>
        </w:rPr>
      </w:pPr>
      <w:r w:rsidRPr="000F2DE7">
        <w:rPr>
          <w:rFonts w:ascii="Cambria" w:hAnsi="Cambria" w:cs="Arial"/>
          <w:sz w:val="22"/>
          <w:szCs w:val="22"/>
          <w:highlight w:val="yellow"/>
          <w:lang w:eastAsia="pl-PL"/>
        </w:rPr>
        <w:t>Załącznik nr 2 – Wykaz zagrożeń występujących na Obszarze Realizacji;</w:t>
      </w:r>
    </w:p>
    <w:p w14:paraId="5B21012C" w14:textId="77777777" w:rsidR="0013110C" w:rsidRPr="000F2DE7"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highlight w:val="yellow"/>
          <w:lang w:eastAsia="pl-PL"/>
        </w:rPr>
      </w:pPr>
      <w:r w:rsidRPr="000F2DE7">
        <w:rPr>
          <w:rFonts w:ascii="Cambria" w:hAnsi="Cambria" w:cs="Arial"/>
          <w:sz w:val="22"/>
          <w:szCs w:val="22"/>
          <w:highlight w:val="yellow"/>
          <w:lang w:eastAsia="pl-PL"/>
        </w:rPr>
        <w:t>Załącznik nr 3 - Oferta;</w:t>
      </w:r>
    </w:p>
    <w:p w14:paraId="1C36D69E" w14:textId="77777777" w:rsidR="0013110C" w:rsidRPr="000F2DE7"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highlight w:val="yellow"/>
        </w:rPr>
      </w:pPr>
      <w:r w:rsidRPr="000F2DE7">
        <w:rPr>
          <w:rFonts w:ascii="Cambria" w:hAnsi="Cambria" w:cs="Arial"/>
          <w:color w:val="000000"/>
          <w:sz w:val="22"/>
          <w:szCs w:val="22"/>
          <w:highlight w:val="yellow"/>
          <w:lang w:eastAsia="pl-PL"/>
        </w:rPr>
        <w:t xml:space="preserve">Załącznik nr 4 – Ramowy Harmonogram Realizacji Przedmiotu Umowy; </w:t>
      </w:r>
    </w:p>
    <w:p w14:paraId="7ED438DF" w14:textId="77777777" w:rsidR="0013110C" w:rsidRPr="000F2DE7"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highlight w:val="yellow"/>
        </w:rPr>
      </w:pPr>
      <w:r w:rsidRPr="000F2DE7">
        <w:rPr>
          <w:rFonts w:ascii="Cambria" w:hAnsi="Cambria" w:cs="Arial"/>
          <w:color w:val="000000"/>
          <w:sz w:val="22"/>
          <w:szCs w:val="22"/>
          <w:highlight w:val="yellow"/>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64C3712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587492CC" w:rsidR="0013110C" w:rsidRDefault="0013110C" w:rsidP="00A83673">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C8C5" w14:textId="77777777" w:rsidR="002317B1" w:rsidRDefault="002317B1">
      <w:r>
        <w:separator/>
      </w:r>
    </w:p>
  </w:endnote>
  <w:endnote w:type="continuationSeparator" w:id="0">
    <w:p w14:paraId="4087DBC4" w14:textId="77777777" w:rsidR="002317B1" w:rsidRDefault="0023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D398E">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22C4" w14:textId="77777777" w:rsidR="002317B1" w:rsidRDefault="002317B1">
      <w:r>
        <w:separator/>
      </w:r>
    </w:p>
  </w:footnote>
  <w:footnote w:type="continuationSeparator" w:id="0">
    <w:p w14:paraId="75AFE3C8" w14:textId="77777777" w:rsidR="002317B1" w:rsidRDefault="0023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2DE7"/>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17B1"/>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5EBB"/>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47E4"/>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3673"/>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98E"/>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BF7FA0"/>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A8B"/>
    <w:rsid w:val="00D01B7C"/>
    <w:rsid w:val="00D03DED"/>
    <w:rsid w:val="00D03EBE"/>
    <w:rsid w:val="00D04806"/>
    <w:rsid w:val="00D052C2"/>
    <w:rsid w:val="00D06D6E"/>
    <w:rsid w:val="00D0750E"/>
    <w:rsid w:val="00D10335"/>
    <w:rsid w:val="00D10384"/>
    <w:rsid w:val="00D11176"/>
    <w:rsid w:val="00D111ED"/>
    <w:rsid w:val="00D123BF"/>
    <w:rsid w:val="00D13583"/>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4529"/>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E978-B958-4E87-88C8-44DC734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7067</Words>
  <Characters>42406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Dorota Stachoń (Nadl. Łosie)</cp:lastModifiedBy>
  <cp:revision>7</cp:revision>
  <cp:lastPrinted>2017-05-23T11:32:00Z</cp:lastPrinted>
  <dcterms:created xsi:type="dcterms:W3CDTF">2021-10-11T09:56:00Z</dcterms:created>
  <dcterms:modified xsi:type="dcterms:W3CDTF">2021-10-19T08:42:00Z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