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1.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31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widowControl/>
        <w:suppressAutoHyphens w:val="true"/>
        <w:bidi w:val="0"/>
        <w:spacing w:lineRule="auto" w:line="276" w:before="113" w:after="113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</w:p>
    <w:p>
      <w:pPr>
        <w:pStyle w:val="Opisypl"/>
        <w:widowControl/>
        <w:suppressAutoHyphens w:val="true"/>
        <w:bidi w:val="0"/>
        <w:spacing w:lineRule="auto" w:line="276" w:before="113" w:after="113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Nagwek1"/>
        <w:bidi w:val="0"/>
        <w:spacing w:lineRule="auto" w:line="360" w:before="240" w:after="120"/>
        <w:ind w:start="3118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podzespołów</w:t>
      </w:r>
    </w:p>
    <w:p>
      <w:pPr>
        <w:pStyle w:val="Nagwek1"/>
        <w:keepNext w:val="true"/>
        <w:widowControl/>
        <w:tabs>
          <w:tab w:val="clear" w:pos="709"/>
        </w:tabs>
        <w:suppressAutoHyphens w:val="false"/>
        <w:bidi w:val="0"/>
        <w:spacing w:lineRule="auto" w:line="360" w:before="240" w:after="120"/>
        <w:ind w:start="4025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Zadanie </w:t>
      </w:r>
      <w:r>
        <w:rPr>
          <w:rFonts w:ascii="Arial" w:hAnsi="Arial"/>
          <w:sz w:val="22"/>
          <w:szCs w:val="22"/>
        </w:rPr>
        <w:t>1</w:t>
      </w:r>
    </w:p>
    <w:p>
      <w:pPr>
        <w:pStyle w:val="Tretekstu"/>
        <w:bidi w:val="0"/>
        <w:spacing w:before="0" w:after="227"/>
        <w:jc w:val="start"/>
        <w:rPr/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1: Zakup i dostawa 7 drukarek laserowych monochromatycznych A4 oraz 3 skanerów z automatycznym podajnikiem ADF na potrzeby Urzędu Miasta Legionowo</w:t>
      </w:r>
    </w:p>
    <w:p>
      <w:pPr>
        <w:pStyle w:val="Tretekstu"/>
        <w:numPr>
          <w:ilvl w:val="0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7</w:t>
      </w:r>
      <w:r>
        <w:rPr>
          <w:rFonts w:ascii="Arial" w:hAnsi="Arial"/>
          <w:sz w:val="22"/>
          <w:szCs w:val="22"/>
          <w:lang w:val="pl-PL"/>
        </w:rPr>
        <w:t xml:space="preserve"> drukar</w:t>
      </w:r>
      <w:r>
        <w:rPr>
          <w:rFonts w:ascii="Arial" w:hAnsi="Arial"/>
          <w:sz w:val="22"/>
          <w:szCs w:val="22"/>
          <w:lang w:val="pl-PL"/>
        </w:rPr>
        <w:t>e</w:t>
      </w:r>
      <w:r>
        <w:rPr>
          <w:rFonts w:ascii="Arial" w:hAnsi="Arial"/>
          <w:sz w:val="22"/>
          <w:szCs w:val="22"/>
          <w:lang w:val="pl-PL"/>
        </w:rPr>
        <w:t>k laserow</w:t>
      </w:r>
      <w:r>
        <w:rPr>
          <w:rFonts w:ascii="Arial" w:hAnsi="Arial"/>
          <w:sz w:val="22"/>
          <w:szCs w:val="22"/>
          <w:lang w:val="pl-PL"/>
        </w:rPr>
        <w:t>ych</w:t>
      </w:r>
      <w:r>
        <w:rPr>
          <w:rFonts w:ascii="Arial" w:hAnsi="Arial"/>
          <w:sz w:val="22"/>
          <w:szCs w:val="22"/>
          <w:lang w:val="pl-PL"/>
        </w:rPr>
        <w:t xml:space="preserve"> monochromatyczn</w:t>
      </w:r>
      <w:r>
        <w:rPr>
          <w:rFonts w:ascii="Arial" w:hAnsi="Arial"/>
          <w:sz w:val="22"/>
          <w:szCs w:val="22"/>
          <w:lang w:val="pl-PL"/>
        </w:rPr>
        <w:t>ych</w:t>
      </w:r>
      <w:r>
        <w:rPr>
          <w:rFonts w:ascii="Arial" w:hAnsi="Arial"/>
          <w:sz w:val="22"/>
          <w:szCs w:val="22"/>
          <w:lang w:val="pl-PL"/>
        </w:rPr>
        <w:t xml:space="preserve"> A4</w:t>
      </w:r>
      <w:r>
        <w:rPr>
          <w:rFonts w:ascii="Arial" w:hAnsi="Arial"/>
          <w:sz w:val="22"/>
          <w:szCs w:val="22"/>
          <w:lang w:val="pl-PL"/>
        </w:rPr>
        <w:t xml:space="preserve"> (producent, model):</w:t>
      </w:r>
    </w:p>
    <w:p>
      <w:pPr>
        <w:pStyle w:val="Tretekstu"/>
        <w:numPr>
          <w:ilvl w:val="0"/>
          <w:numId w:val="0"/>
        </w:numPr>
        <w:bidi w:val="0"/>
        <w:spacing w:lineRule="auto" w:line="360"/>
        <w:ind w:start="142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2" o:allowincell="f" style="position:absolute;margin-left:0pt;margin-top:-8.3pt;width:453.5pt;height:25.45pt" type="#_x0000_t201">
            <w10:wrap type="none"/>
          </v:shape>
          <w:control r:id="rId4" w:name="Producent i model drukarek laserowych monochromatycznych A4" w:shapeid="control_shape_2"/>
        </w:pict>
      </w:r>
    </w:p>
    <w:p>
      <w:pPr>
        <w:pStyle w:val="Tretekstu"/>
        <w:numPr>
          <w:ilvl w:val="0"/>
          <w:numId w:val="3"/>
        </w:numPr>
        <w:bidi w:val="0"/>
        <w:spacing w:lineRule="auto" w:line="36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3</w:t>
      </w:r>
      <w:r>
        <w:rPr>
          <w:rFonts w:ascii="Arial" w:hAnsi="Arial"/>
          <w:sz w:val="22"/>
          <w:szCs w:val="22"/>
          <w:lang w:val="pl-PL"/>
        </w:rPr>
        <w:t xml:space="preserve"> skanery z automatycznym podajnikiem ADF </w:t>
      </w:r>
      <w:r>
        <w:rPr>
          <w:rFonts w:ascii="Arial" w:hAnsi="Arial"/>
          <w:sz w:val="22"/>
          <w:szCs w:val="22"/>
          <w:lang w:val="pl-PL"/>
        </w:rPr>
        <w:t>(producent, model):</w:t>
      </w:r>
    </w:p>
    <w:p>
      <w:pPr>
        <w:pStyle w:val="Normal"/>
        <w:bidi w:val="0"/>
        <w:spacing w:lineRule="auto" w:line="360" w:before="0" w:after="140"/>
        <w:ind w:start="0" w:end="0" w:hanging="0"/>
        <w:jc w:val="start"/>
        <w:rPr>
          <w:rStyle w:val="Mocnewyrnione"/>
          <w:rFonts w:ascii="Arial" w:hAnsi="Arial" w:eastAsia="TimesNewRomanPS-BoldMT" w:cs="TimesNewRomanPS-Bold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</w:pPr>
      <w:r>
        <w:rPr/>
        <w:pict>
          <v:shape id="control_shape_3" o:allowincell="f" style="position:absolute;margin-left:0pt;margin-top:0pt;width:453.5pt;height:25.45pt" type="#_x0000_t201">
            <w10:wrap type="none"/>
          </v:shape>
          <w:control r:id="rId5" w:name="Producent i model skanerów z automatycznym podajnikiem ADF" w:shapeid="control_shape_3"/>
        </w:pic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podzespołów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do reprezentowania wykonawcy udzielonym przez osoby, o których mowa w lit. a i b.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UWAGA! W przypadku jego niezłożenia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formularz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podzespołów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złożenia niezgodnie z jego treścią lub niekompletnego,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oferta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 podlega uzupełnieniu. Oferta wykonawcy, który nie złoży tego dokumentu podlegać będzie odrzuceniu na podstawie art. 226 ust. 1 pkt 5 ustawy Pzp – jej treść jest niezgodna z warunkami zamówienia, z zastrzeżeniem art. 223 ust. 2 pkt 3 ustawy Pzp.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142" w:hanging="142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219</Words>
  <Characters>1449</Characters>
  <CharactersWithSpaces>1651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2023-08-23T13:38:18Z</dcterms:modified>
  <cp:revision>2</cp:revision>
  <dc:subject/>
  <dc:title>Formularz podzespołów</dc:title>
</cp:coreProperties>
</file>