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3DA3" w14:textId="72DE38A3" w:rsidR="00A57CF1" w:rsidRPr="003F62EA" w:rsidRDefault="004E12F5" w:rsidP="004E12F5">
      <w:pPr>
        <w:keepNext/>
        <w:pageBreakBefore/>
        <w:spacing w:line="360" w:lineRule="auto"/>
        <w:ind w:left="1416" w:firstLine="708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A57CF1" w:rsidRPr="003F62EA" w14:paraId="4890C96E" w14:textId="77777777" w:rsidTr="00D64986">
        <w:tc>
          <w:tcPr>
            <w:tcW w:w="2950" w:type="dxa"/>
          </w:tcPr>
          <w:p w14:paraId="64987A18" w14:textId="1656D1DC" w:rsidR="00A57CF1" w:rsidRPr="004E12F5" w:rsidRDefault="004E12F5" w:rsidP="00D64986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E12F5">
              <w:rPr>
                <w:rFonts w:ascii="Arial Unicode MS" w:eastAsia="Arial Unicode MS" w:hAnsi="Arial Unicode MS" w:cs="Arial Unicode MS"/>
                <w:b/>
                <w:bCs/>
              </w:rPr>
              <w:t xml:space="preserve">Załącznik nr 3 </w:t>
            </w:r>
          </w:p>
        </w:tc>
      </w:tr>
      <w:tr w:rsidR="00A57CF1" w:rsidRPr="003F62EA" w14:paraId="222E570C" w14:textId="77777777" w:rsidTr="00D64986">
        <w:tc>
          <w:tcPr>
            <w:tcW w:w="2950" w:type="dxa"/>
          </w:tcPr>
          <w:p w14:paraId="758C4B36" w14:textId="77777777" w:rsidR="00A57CF1" w:rsidRPr="003F62EA" w:rsidRDefault="00A57CF1" w:rsidP="00D64986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57CF1" w:rsidRPr="003F62EA" w14:paraId="0DD6BF2C" w14:textId="77777777" w:rsidTr="00D64986">
        <w:tc>
          <w:tcPr>
            <w:tcW w:w="2950" w:type="dxa"/>
          </w:tcPr>
          <w:p w14:paraId="66CE27B9" w14:textId="77777777" w:rsidR="00A57CF1" w:rsidRPr="003F62EA" w:rsidRDefault="00A57CF1" w:rsidP="00D64986">
            <w:pPr>
              <w:pStyle w:val="Tekstpodstawowy21"/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F62EA">
              <w:rPr>
                <w:rFonts w:ascii="Arial Unicode MS" w:eastAsia="Arial Unicode MS" w:hAnsi="Arial Unicode MS" w:cs="Arial Unicode MS"/>
                <w:sz w:val="16"/>
                <w:szCs w:val="16"/>
              </w:rPr>
              <w:t>pieczęć wykonawcy</w:t>
            </w:r>
          </w:p>
        </w:tc>
      </w:tr>
    </w:tbl>
    <w:p w14:paraId="0270C218" w14:textId="77777777" w:rsidR="00A57CF1" w:rsidRPr="004E12F5" w:rsidRDefault="00A57CF1" w:rsidP="00A57CF1">
      <w:pPr>
        <w:pStyle w:val="Tekstpodstawowy"/>
        <w:spacing w:line="360" w:lineRule="auto"/>
        <w:jc w:val="center"/>
        <w:rPr>
          <w:rFonts w:ascii="Arial" w:hAnsi="Arial" w:cs="Arial"/>
          <w:color w:val="1F4E79" w:themeColor="accent5" w:themeShade="80"/>
          <w:u w:val="single"/>
        </w:rPr>
      </w:pPr>
    </w:p>
    <w:p w14:paraId="3AD2D4A8" w14:textId="7CC615FA" w:rsidR="00A57CF1" w:rsidRDefault="00A57CF1" w:rsidP="00A57CF1">
      <w:pPr>
        <w:spacing w:line="360" w:lineRule="auto"/>
        <w:jc w:val="center"/>
        <w:outlineLvl w:val="0"/>
        <w:rPr>
          <w:rFonts w:ascii="Arial" w:hAnsi="Arial" w:cs="Arial"/>
          <w:b/>
          <w:color w:val="1F4E79" w:themeColor="accent5" w:themeShade="80"/>
          <w:u w:val="single"/>
        </w:rPr>
      </w:pPr>
      <w:r w:rsidRPr="004E12F5">
        <w:rPr>
          <w:rFonts w:ascii="Arial" w:hAnsi="Arial" w:cs="Arial"/>
          <w:b/>
          <w:color w:val="1F4E79" w:themeColor="accent5" w:themeShade="80"/>
          <w:u w:val="single"/>
        </w:rPr>
        <w:t xml:space="preserve">Wyszczególnienie zakresu </w:t>
      </w:r>
      <w:proofErr w:type="spellStart"/>
      <w:r w:rsidRPr="004E12F5">
        <w:rPr>
          <w:rFonts w:ascii="Arial" w:hAnsi="Arial" w:cs="Arial"/>
          <w:b/>
          <w:color w:val="1F4E79" w:themeColor="accent5" w:themeShade="80"/>
          <w:u w:val="single"/>
        </w:rPr>
        <w:t>ryzyk</w:t>
      </w:r>
      <w:proofErr w:type="spellEnd"/>
      <w:r w:rsidRPr="004E12F5">
        <w:rPr>
          <w:rFonts w:ascii="Arial" w:hAnsi="Arial" w:cs="Arial"/>
          <w:b/>
          <w:color w:val="1F4E79" w:themeColor="accent5" w:themeShade="80"/>
          <w:u w:val="single"/>
        </w:rPr>
        <w:t xml:space="preserve"> dodatkowych podlegających ocenie przez Zamawiającego</w:t>
      </w:r>
    </w:p>
    <w:p w14:paraId="56460BCF" w14:textId="583FE4EE" w:rsidR="004E12F5" w:rsidRDefault="004E12F5" w:rsidP="00A57CF1">
      <w:pPr>
        <w:spacing w:line="360" w:lineRule="auto"/>
        <w:jc w:val="center"/>
        <w:outlineLvl w:val="0"/>
        <w:rPr>
          <w:rFonts w:ascii="Arial" w:hAnsi="Arial" w:cs="Arial"/>
          <w:b/>
          <w:color w:val="1F4E79" w:themeColor="accent5" w:themeShade="80"/>
          <w:u w:val="single"/>
        </w:rPr>
      </w:pPr>
    </w:p>
    <w:p w14:paraId="263E6B69" w14:textId="43AB52AB" w:rsidR="004E12F5" w:rsidRDefault="004E12F5" w:rsidP="00A57CF1">
      <w:pPr>
        <w:spacing w:line="360" w:lineRule="auto"/>
        <w:jc w:val="center"/>
        <w:outlineLvl w:val="0"/>
        <w:rPr>
          <w:rFonts w:ascii="Arial" w:hAnsi="Arial" w:cs="Arial"/>
          <w:b/>
          <w:color w:val="1F4E79" w:themeColor="accent5" w:themeShade="80"/>
          <w:u w:val="single"/>
        </w:rPr>
      </w:pPr>
    </w:p>
    <w:p w14:paraId="7E8FCED1" w14:textId="77777777" w:rsidR="004E12F5" w:rsidRDefault="004E12F5" w:rsidP="004E12F5">
      <w:pPr>
        <w:pStyle w:val="Tekstpodstawowy"/>
        <w:spacing w:line="360" w:lineRule="auto"/>
        <w:jc w:val="center"/>
        <w:rPr>
          <w:rFonts w:ascii="Arial" w:hAnsi="Arial" w:cs="Arial"/>
          <w:bCs w:val="0"/>
          <w:lang w:val="pl-PL"/>
        </w:rPr>
      </w:pPr>
      <w:r w:rsidRPr="004E12F5">
        <w:rPr>
          <w:rFonts w:ascii="Arial" w:hAnsi="Arial" w:cs="Arial"/>
          <w:bCs w:val="0"/>
        </w:rPr>
        <w:t xml:space="preserve">dla CZĘŚCI ZAMÓWIENIA NR </w:t>
      </w:r>
      <w:r w:rsidRPr="004E12F5">
        <w:rPr>
          <w:rFonts w:ascii="Arial" w:hAnsi="Arial" w:cs="Arial"/>
          <w:bCs w:val="0"/>
          <w:lang w:val="pl-PL"/>
        </w:rPr>
        <w:t>1</w:t>
      </w:r>
    </w:p>
    <w:p w14:paraId="1E8F3474" w14:textId="7CC01FFF" w:rsidR="004E12F5" w:rsidRPr="004E12F5" w:rsidRDefault="004E12F5" w:rsidP="004E12F5">
      <w:pPr>
        <w:pStyle w:val="Tekstpodstawowy"/>
        <w:spacing w:line="360" w:lineRule="auto"/>
        <w:rPr>
          <w:rFonts w:ascii="Arial" w:hAnsi="Arial" w:cs="Arial"/>
          <w:bCs w:val="0"/>
          <w:lang w:val="pl-PL" w:eastAsia="pl-PL"/>
        </w:rPr>
      </w:pPr>
      <w:r>
        <w:rPr>
          <w:rFonts w:ascii="Arial" w:hAnsi="Arial" w:cs="Arial"/>
          <w:bCs w:val="0"/>
          <w:lang w:val="pl-PL"/>
        </w:rPr>
        <w:t xml:space="preserve">1. </w:t>
      </w:r>
      <w:r w:rsidRPr="003F62EA">
        <w:rPr>
          <w:rFonts w:ascii="Arial" w:hAnsi="Arial" w:cs="Arial"/>
          <w:bCs w:val="0"/>
          <w:sz w:val="20"/>
        </w:rPr>
        <w:t xml:space="preserve">Ubezpieczenie </w:t>
      </w:r>
      <w:r>
        <w:rPr>
          <w:rFonts w:ascii="Arial" w:hAnsi="Arial" w:cs="Arial"/>
          <w:bCs w:val="0"/>
          <w:sz w:val="20"/>
          <w:lang w:val="pl-PL"/>
        </w:rPr>
        <w:t xml:space="preserve">mienia od wszystkich </w:t>
      </w:r>
      <w:proofErr w:type="spellStart"/>
      <w:r>
        <w:rPr>
          <w:rFonts w:ascii="Arial" w:hAnsi="Arial" w:cs="Arial"/>
          <w:bCs w:val="0"/>
          <w:sz w:val="20"/>
          <w:lang w:val="pl-PL"/>
        </w:rPr>
        <w:t>ryzyk</w:t>
      </w:r>
      <w:proofErr w:type="spellEnd"/>
      <w:r>
        <w:rPr>
          <w:rFonts w:ascii="Arial" w:hAnsi="Arial" w:cs="Arial"/>
          <w:bCs w:val="0"/>
          <w:sz w:val="20"/>
          <w:lang w:val="pl-PL"/>
        </w:rPr>
        <w:t xml:space="preserve"> i sprzętu elektronicznego </w:t>
      </w:r>
    </w:p>
    <w:p w14:paraId="3CD777F2" w14:textId="53086FEF" w:rsidR="00A57CF1" w:rsidRDefault="00A57CF1" w:rsidP="00F8746A">
      <w:pPr>
        <w:pStyle w:val="Nagwek4"/>
        <w:widowControl w:val="0"/>
        <w:tabs>
          <w:tab w:val="left" w:pos="0"/>
        </w:tabs>
        <w:suppressAutoHyphens/>
        <w:spacing w:line="360" w:lineRule="auto"/>
        <w:jc w:val="left"/>
        <w:rPr>
          <w:rFonts w:ascii="Arial" w:hAnsi="Arial" w:cs="Arial"/>
          <w:bCs w:val="0"/>
          <w:sz w:val="20"/>
        </w:rPr>
      </w:pPr>
    </w:p>
    <w:p w14:paraId="700557BE" w14:textId="77777777" w:rsidR="00F8746A" w:rsidRDefault="00F8746A" w:rsidP="00F8746A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b/>
          <w:bCs/>
          <w:color w:val="1F4E79" w:themeColor="accent5" w:themeShade="80"/>
          <w:u w:val="single"/>
        </w:rPr>
      </w:pPr>
      <w:r w:rsidRPr="00F153F2">
        <w:rPr>
          <w:rFonts w:ascii="Arial" w:hAnsi="Arial" w:cs="Arial"/>
          <w:b/>
          <w:bCs/>
          <w:color w:val="1F4E79" w:themeColor="accent5" w:themeShade="80"/>
          <w:u w:val="single"/>
        </w:rPr>
        <w:t xml:space="preserve">Ubezpieczenie od wszystkich </w:t>
      </w:r>
      <w:proofErr w:type="spellStart"/>
      <w:r w:rsidRPr="00F153F2">
        <w:rPr>
          <w:rFonts w:ascii="Arial" w:hAnsi="Arial" w:cs="Arial"/>
          <w:b/>
          <w:bCs/>
          <w:color w:val="1F4E79" w:themeColor="accent5" w:themeShade="80"/>
          <w:u w:val="single"/>
        </w:rPr>
        <w:t>ryzyk</w:t>
      </w:r>
      <w:proofErr w:type="spellEnd"/>
      <w:r w:rsidRPr="00F153F2">
        <w:rPr>
          <w:rFonts w:ascii="Arial" w:hAnsi="Arial" w:cs="Arial"/>
          <w:b/>
          <w:bCs/>
          <w:color w:val="1F4E79" w:themeColor="accent5" w:themeShade="80"/>
          <w:u w:val="single"/>
        </w:rPr>
        <w:t xml:space="preserve"> </w:t>
      </w:r>
      <w:r>
        <w:rPr>
          <w:rFonts w:ascii="Arial" w:hAnsi="Arial" w:cs="Arial"/>
          <w:b/>
          <w:bCs/>
          <w:color w:val="1F4E79" w:themeColor="accent5" w:themeShade="80"/>
          <w:u w:val="single"/>
          <w:lang w:val="pl-PL"/>
        </w:rPr>
        <w:t xml:space="preserve">, </w:t>
      </w:r>
      <w:r w:rsidRPr="00F153F2">
        <w:rPr>
          <w:rFonts w:ascii="Arial" w:hAnsi="Arial" w:cs="Arial"/>
          <w:b/>
          <w:bCs/>
          <w:color w:val="1F4E79" w:themeColor="accent5" w:themeShade="80"/>
          <w:u w:val="single"/>
        </w:rPr>
        <w:t>sprzętu elektronicznego</w:t>
      </w:r>
      <w:r>
        <w:rPr>
          <w:rFonts w:ascii="Arial" w:hAnsi="Arial" w:cs="Arial"/>
          <w:b/>
          <w:bCs/>
          <w:color w:val="1F4E79" w:themeColor="accent5" w:themeShade="80"/>
          <w:u w:val="single"/>
          <w:lang w:val="pl-PL"/>
        </w:rPr>
        <w:t xml:space="preserve"> i OC działalności. </w:t>
      </w:r>
    </w:p>
    <w:p w14:paraId="1803F881" w14:textId="77777777" w:rsidR="00F8746A" w:rsidRDefault="00F8746A" w:rsidP="00F8746A">
      <w:pPr>
        <w:pStyle w:val="Akapitzlist"/>
        <w:ind w:left="567"/>
        <w:rPr>
          <w:rFonts w:ascii="Arial" w:hAnsi="Arial" w:cs="Arial"/>
          <w:b/>
          <w:bCs/>
          <w:color w:val="1F4E79" w:themeColor="accent5" w:themeShade="80"/>
          <w:u w:val="single"/>
        </w:rPr>
      </w:pPr>
    </w:p>
    <w:tbl>
      <w:tblPr>
        <w:tblStyle w:val="TableNormal1"/>
        <w:tblW w:w="1077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2410"/>
        <w:gridCol w:w="993"/>
        <w:gridCol w:w="1134"/>
        <w:gridCol w:w="992"/>
      </w:tblGrid>
      <w:tr w:rsidR="000833D8" w:rsidRPr="00177394" w14:paraId="79F08EC4" w14:textId="6BC89262" w:rsidTr="0099779B">
        <w:trPr>
          <w:trHeight w:val="724"/>
        </w:trPr>
        <w:tc>
          <w:tcPr>
            <w:tcW w:w="709" w:type="dxa"/>
          </w:tcPr>
          <w:p w14:paraId="7ADBC4AE" w14:textId="77777777" w:rsidR="000833D8" w:rsidRPr="007B5547" w:rsidRDefault="000833D8" w:rsidP="000833D8">
            <w:pPr>
              <w:rPr>
                <w:rFonts w:ascii="Arial" w:eastAsia="Tahoma" w:hAnsi="Arial" w:cs="Arial"/>
                <w:i/>
                <w:sz w:val="20"/>
                <w:szCs w:val="20"/>
                <w:lang w:val="pl-PL"/>
              </w:rPr>
            </w:pPr>
          </w:p>
          <w:p w14:paraId="0B7B14BE" w14:textId="5C1549A9" w:rsidR="000833D8" w:rsidRPr="00177394" w:rsidRDefault="000833D8" w:rsidP="000833D8">
            <w:pPr>
              <w:rPr>
                <w:rFonts w:ascii="Arial" w:eastAsia="Tahoma" w:hAnsi="Arial" w:cs="Arial"/>
                <w:b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>Nr</w:t>
            </w:r>
          </w:p>
        </w:tc>
        <w:tc>
          <w:tcPr>
            <w:tcW w:w="4537" w:type="dxa"/>
          </w:tcPr>
          <w:p w14:paraId="1E9C29B1" w14:textId="77777777" w:rsidR="000833D8" w:rsidRPr="00CB39C7" w:rsidRDefault="000833D8" w:rsidP="000833D8">
            <w:pPr>
              <w:rPr>
                <w:rFonts w:ascii="Arial" w:eastAsia="Tahoma" w:hAnsi="Arial" w:cs="Arial"/>
                <w:i/>
                <w:sz w:val="20"/>
                <w:szCs w:val="20"/>
              </w:rPr>
            </w:pPr>
          </w:p>
          <w:p w14:paraId="62E131B9" w14:textId="67F840A4" w:rsidR="000833D8" w:rsidRPr="00177394" w:rsidRDefault="000833D8" w:rsidP="000833D8">
            <w:pPr>
              <w:rPr>
                <w:rFonts w:ascii="Arial" w:eastAsia="Tahoma" w:hAnsi="Arial" w:cs="Arial"/>
                <w:b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>Opis</w:t>
            </w:r>
            <w:proofErr w:type="spellEnd"/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>kryterium</w:t>
            </w:r>
            <w:proofErr w:type="spellEnd"/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>oceny</w:t>
            </w:r>
            <w:proofErr w:type="spellEnd"/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>ofert</w:t>
            </w:r>
            <w:proofErr w:type="spellEnd"/>
          </w:p>
        </w:tc>
        <w:tc>
          <w:tcPr>
            <w:tcW w:w="2410" w:type="dxa"/>
          </w:tcPr>
          <w:p w14:paraId="743D6AAF" w14:textId="342998B3" w:rsidR="000833D8" w:rsidRPr="00177394" w:rsidRDefault="000833D8" w:rsidP="000833D8">
            <w:pPr>
              <w:rPr>
                <w:rFonts w:ascii="Arial" w:eastAsia="Tahoma" w:hAnsi="Arial" w:cs="Arial"/>
                <w:b/>
                <w:iCs/>
                <w:sz w:val="20"/>
                <w:szCs w:val="20"/>
                <w:lang w:val="pl-PL"/>
              </w:rPr>
            </w:pPr>
            <w:r w:rsidRPr="007B5547">
              <w:rPr>
                <w:rFonts w:ascii="Arial" w:eastAsia="Tahoma" w:hAnsi="Arial" w:cs="Arial"/>
                <w:b/>
                <w:i/>
                <w:sz w:val="20"/>
                <w:szCs w:val="20"/>
                <w:u w:val="single"/>
                <w:lang w:val="pl-PL"/>
              </w:rPr>
              <w:t>Zmiany limitów</w:t>
            </w:r>
            <w:r w:rsidRPr="007B5547">
              <w:rPr>
                <w:rFonts w:ascii="Arial" w:eastAsia="Tahoma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7B5547">
              <w:rPr>
                <w:rFonts w:ascii="Arial" w:eastAsia="Tahoma" w:hAnsi="Arial" w:cs="Arial"/>
                <w:b/>
                <w:i/>
                <w:sz w:val="20"/>
                <w:szCs w:val="20"/>
                <w:u w:val="single"/>
                <w:lang w:val="pl-PL"/>
              </w:rPr>
              <w:t>wprowadzone w ofercie</w:t>
            </w:r>
            <w:r w:rsidRPr="007B5547">
              <w:rPr>
                <w:rFonts w:ascii="Arial" w:eastAsia="Tahoma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7B5547">
              <w:rPr>
                <w:rFonts w:ascii="Arial" w:eastAsia="Tahoma" w:hAnsi="Arial" w:cs="Arial"/>
                <w:b/>
                <w:i/>
                <w:sz w:val="20"/>
                <w:szCs w:val="20"/>
                <w:u w:val="single"/>
                <w:lang w:val="pl-PL"/>
              </w:rPr>
              <w:t>przez Wykonawcę</w:t>
            </w:r>
          </w:p>
        </w:tc>
        <w:tc>
          <w:tcPr>
            <w:tcW w:w="993" w:type="dxa"/>
          </w:tcPr>
          <w:p w14:paraId="7332ABAA" w14:textId="6EA3C2F2" w:rsidR="000833D8" w:rsidRPr="00177394" w:rsidRDefault="000833D8" w:rsidP="000833D8">
            <w:pPr>
              <w:rPr>
                <w:rFonts w:ascii="Arial" w:eastAsia="Tahoma" w:hAnsi="Arial" w:cs="Arial"/>
                <w:b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>Liczba</w:t>
            </w:r>
            <w:proofErr w:type="spellEnd"/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b/>
                <w:i/>
                <w:sz w:val="20"/>
                <w:szCs w:val="20"/>
              </w:rPr>
              <w:t>punktów</w:t>
            </w:r>
            <w:proofErr w:type="spellEnd"/>
          </w:p>
        </w:tc>
        <w:tc>
          <w:tcPr>
            <w:tcW w:w="1134" w:type="dxa"/>
          </w:tcPr>
          <w:p w14:paraId="068E656E" w14:textId="2D8C96A4" w:rsidR="000833D8" w:rsidRPr="00177394" w:rsidRDefault="000833D8" w:rsidP="000833D8">
            <w:pPr>
              <w:rPr>
                <w:rFonts w:ascii="Arial" w:eastAsia="Tahoma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TAK / NIE</w:t>
            </w:r>
          </w:p>
        </w:tc>
        <w:tc>
          <w:tcPr>
            <w:tcW w:w="992" w:type="dxa"/>
          </w:tcPr>
          <w:p w14:paraId="08A4ADD2" w14:textId="55D1975E" w:rsidR="000833D8" w:rsidRDefault="000833D8" w:rsidP="000833D8">
            <w:pPr>
              <w:rPr>
                <w:rFonts w:ascii="Arial" w:eastAsia="Tahoma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>Liczba</w:t>
            </w:r>
            <w:proofErr w:type="spellEnd"/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>punktów</w:t>
            </w:r>
            <w:proofErr w:type="spellEnd"/>
          </w:p>
        </w:tc>
      </w:tr>
      <w:tr w:rsidR="000833D8" w:rsidRPr="00177394" w14:paraId="723BD51D" w14:textId="5DEC1612" w:rsidTr="00396010">
        <w:trPr>
          <w:trHeight w:val="239"/>
        </w:trPr>
        <w:tc>
          <w:tcPr>
            <w:tcW w:w="709" w:type="dxa"/>
            <w:vMerge w:val="restart"/>
          </w:tcPr>
          <w:p w14:paraId="1CA1F8B4" w14:textId="4E15FFA5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B1</w:t>
            </w:r>
          </w:p>
        </w:tc>
        <w:tc>
          <w:tcPr>
            <w:tcW w:w="4537" w:type="dxa"/>
            <w:vMerge w:val="restart"/>
          </w:tcPr>
          <w:p w14:paraId="0CCEE2D7" w14:textId="57CF97FA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Zwiększenie</w:t>
            </w: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ab/>
              <w:t>limitu</w:t>
            </w: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ab/>
              <w:t>odpowiedzialności dla ryzyka przepięcia/przetężenia</w:t>
            </w: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ab/>
              <w:t>z przyczyn innych niż wyładowania atmosferyczne</w:t>
            </w:r>
          </w:p>
        </w:tc>
        <w:tc>
          <w:tcPr>
            <w:tcW w:w="2410" w:type="dxa"/>
          </w:tcPr>
          <w:p w14:paraId="77E11696" w14:textId="51B1A4F9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50%</w:t>
            </w:r>
          </w:p>
        </w:tc>
        <w:tc>
          <w:tcPr>
            <w:tcW w:w="993" w:type="dxa"/>
          </w:tcPr>
          <w:p w14:paraId="112C7972" w14:textId="139CEC7C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5 pkt</w:t>
            </w:r>
          </w:p>
        </w:tc>
        <w:tc>
          <w:tcPr>
            <w:tcW w:w="1134" w:type="dxa"/>
            <w:vAlign w:val="center"/>
          </w:tcPr>
          <w:p w14:paraId="01B3A939" w14:textId="1C47C71F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4517971E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0D31A020" w14:textId="5E5EF9F7" w:rsidTr="00396010">
        <w:trPr>
          <w:trHeight w:val="474"/>
        </w:trPr>
        <w:tc>
          <w:tcPr>
            <w:tcW w:w="709" w:type="dxa"/>
            <w:vMerge/>
            <w:tcBorders>
              <w:top w:val="nil"/>
            </w:tcBorders>
          </w:tcPr>
          <w:p w14:paraId="7C6BBD68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C4E32FF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072FFC" w14:textId="7034A81D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100%</w:t>
            </w:r>
          </w:p>
        </w:tc>
        <w:tc>
          <w:tcPr>
            <w:tcW w:w="993" w:type="dxa"/>
          </w:tcPr>
          <w:p w14:paraId="01C8BE1A" w14:textId="53FD2EF5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10 pkt</w:t>
            </w:r>
          </w:p>
        </w:tc>
        <w:tc>
          <w:tcPr>
            <w:tcW w:w="1134" w:type="dxa"/>
            <w:vAlign w:val="center"/>
          </w:tcPr>
          <w:p w14:paraId="178B9A29" w14:textId="08AEA1B8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7CA8539D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768DD081" w14:textId="5A7B4B4A" w:rsidTr="00396010">
        <w:trPr>
          <w:trHeight w:val="239"/>
        </w:trPr>
        <w:tc>
          <w:tcPr>
            <w:tcW w:w="709" w:type="dxa"/>
            <w:vMerge w:val="restart"/>
          </w:tcPr>
          <w:p w14:paraId="43D89357" w14:textId="069B3AA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Tahoma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537" w:type="dxa"/>
            <w:vMerge w:val="restart"/>
          </w:tcPr>
          <w:p w14:paraId="6699456A" w14:textId="2196D34C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Zwiększenie</w:t>
            </w: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ab/>
              <w:t>limitu</w:t>
            </w: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ab/>
              <w:t>odpowiedzialności</w:t>
            </w: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ab/>
              <w:t>(sumy ubezpieczenia) dla ryzyka kradzieży zwykłej</w:t>
            </w:r>
          </w:p>
        </w:tc>
        <w:tc>
          <w:tcPr>
            <w:tcW w:w="2410" w:type="dxa"/>
          </w:tcPr>
          <w:p w14:paraId="2108D5BE" w14:textId="2D503973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50%</w:t>
            </w:r>
          </w:p>
        </w:tc>
        <w:tc>
          <w:tcPr>
            <w:tcW w:w="993" w:type="dxa"/>
          </w:tcPr>
          <w:p w14:paraId="6AFC9284" w14:textId="3E64E20C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5 pkt</w:t>
            </w:r>
          </w:p>
        </w:tc>
        <w:tc>
          <w:tcPr>
            <w:tcW w:w="1134" w:type="dxa"/>
            <w:vAlign w:val="center"/>
          </w:tcPr>
          <w:p w14:paraId="4F6C2C4E" w14:textId="2E7EBED3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47043D35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15504BAB" w14:textId="51AE16B6" w:rsidTr="00396010">
        <w:trPr>
          <w:trHeight w:val="244"/>
        </w:trPr>
        <w:tc>
          <w:tcPr>
            <w:tcW w:w="709" w:type="dxa"/>
            <w:vMerge/>
            <w:tcBorders>
              <w:top w:val="nil"/>
            </w:tcBorders>
          </w:tcPr>
          <w:p w14:paraId="3984DD20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923DCA2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D3FBAF" w14:textId="344D9CDA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100%</w:t>
            </w:r>
          </w:p>
        </w:tc>
        <w:tc>
          <w:tcPr>
            <w:tcW w:w="993" w:type="dxa"/>
          </w:tcPr>
          <w:p w14:paraId="726B3154" w14:textId="7D0F3C56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10 pkt</w:t>
            </w:r>
          </w:p>
        </w:tc>
        <w:tc>
          <w:tcPr>
            <w:tcW w:w="1134" w:type="dxa"/>
            <w:vAlign w:val="center"/>
          </w:tcPr>
          <w:p w14:paraId="4C1EF16D" w14:textId="4F6B7A38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1EAA2228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661B301E" w14:textId="3C87C4D1" w:rsidTr="00396010">
        <w:trPr>
          <w:trHeight w:val="239"/>
        </w:trPr>
        <w:tc>
          <w:tcPr>
            <w:tcW w:w="709" w:type="dxa"/>
            <w:vMerge w:val="restart"/>
          </w:tcPr>
          <w:p w14:paraId="7D6891F4" w14:textId="77777777" w:rsidR="000833D8" w:rsidRPr="00CB39C7" w:rsidRDefault="000833D8" w:rsidP="000833D8">
            <w:pPr>
              <w:rPr>
                <w:rFonts w:ascii="Arial" w:eastAsia="Tahoma" w:hAnsi="Arial" w:cs="Arial"/>
                <w:i/>
                <w:sz w:val="20"/>
                <w:szCs w:val="20"/>
              </w:rPr>
            </w:pPr>
          </w:p>
          <w:p w14:paraId="4473A52E" w14:textId="2FB43B5F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Tahoma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4537" w:type="dxa"/>
            <w:vMerge w:val="restart"/>
          </w:tcPr>
          <w:p w14:paraId="2394A92F" w14:textId="011BACD2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Zwiększenie limitu odpowiedzialności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w </w:t>
            </w:r>
            <w:r w:rsidRPr="000B1AB0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OC za szkody wyrządzone w związku z wykonywaniem władzy publicznej</w:t>
            </w:r>
          </w:p>
        </w:tc>
        <w:tc>
          <w:tcPr>
            <w:tcW w:w="2410" w:type="dxa"/>
          </w:tcPr>
          <w:p w14:paraId="192B30E4" w14:textId="2A399146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50%</w:t>
            </w:r>
          </w:p>
        </w:tc>
        <w:tc>
          <w:tcPr>
            <w:tcW w:w="993" w:type="dxa"/>
          </w:tcPr>
          <w:p w14:paraId="28FF52E0" w14:textId="3CBD8F34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5 pkt</w:t>
            </w:r>
          </w:p>
        </w:tc>
        <w:tc>
          <w:tcPr>
            <w:tcW w:w="1134" w:type="dxa"/>
            <w:vAlign w:val="center"/>
          </w:tcPr>
          <w:p w14:paraId="2A43F7A2" w14:textId="693CA0D1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3F965341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46D8D749" w14:textId="06B1E892" w:rsidTr="00396010">
        <w:trPr>
          <w:trHeight w:val="239"/>
        </w:trPr>
        <w:tc>
          <w:tcPr>
            <w:tcW w:w="709" w:type="dxa"/>
            <w:vMerge/>
            <w:tcBorders>
              <w:top w:val="nil"/>
            </w:tcBorders>
          </w:tcPr>
          <w:p w14:paraId="3C11D972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3CFCF7F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57EFE3" w14:textId="57152AD8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100%</w:t>
            </w:r>
          </w:p>
        </w:tc>
        <w:tc>
          <w:tcPr>
            <w:tcW w:w="993" w:type="dxa"/>
          </w:tcPr>
          <w:p w14:paraId="169AAC83" w14:textId="0995166C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10 pkt</w:t>
            </w:r>
          </w:p>
        </w:tc>
        <w:tc>
          <w:tcPr>
            <w:tcW w:w="1134" w:type="dxa"/>
            <w:vAlign w:val="center"/>
          </w:tcPr>
          <w:p w14:paraId="71BF8857" w14:textId="55F25009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7233DB17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526C8FBA" w14:textId="479C9632" w:rsidTr="00396010">
        <w:trPr>
          <w:trHeight w:val="244"/>
        </w:trPr>
        <w:tc>
          <w:tcPr>
            <w:tcW w:w="709" w:type="dxa"/>
            <w:vMerge w:val="restart"/>
          </w:tcPr>
          <w:p w14:paraId="40366F83" w14:textId="77777777" w:rsidR="000833D8" w:rsidRPr="00CB39C7" w:rsidRDefault="000833D8" w:rsidP="000833D8">
            <w:pPr>
              <w:rPr>
                <w:rFonts w:ascii="Arial" w:eastAsia="Tahoma" w:hAnsi="Arial" w:cs="Arial"/>
                <w:i/>
                <w:sz w:val="20"/>
                <w:szCs w:val="20"/>
              </w:rPr>
            </w:pPr>
          </w:p>
          <w:p w14:paraId="19ED9526" w14:textId="0360D2C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Tahoma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4537" w:type="dxa"/>
            <w:vMerge w:val="restart"/>
          </w:tcPr>
          <w:p w14:paraId="1B43D4E7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Zwiększenie limitu odpowiedzialności dla ryzyka zalania</w:t>
            </w:r>
          </w:p>
          <w:p w14:paraId="4A7F99C3" w14:textId="144B5F83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przez nieszczelny dach, okna i złącza (klauzula </w:t>
            </w:r>
            <w:proofErr w:type="spellStart"/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zalaniowa</w:t>
            </w:r>
            <w:proofErr w:type="spellEnd"/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2410" w:type="dxa"/>
          </w:tcPr>
          <w:p w14:paraId="1C3AA835" w14:textId="3983016A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50%</w:t>
            </w:r>
          </w:p>
        </w:tc>
        <w:tc>
          <w:tcPr>
            <w:tcW w:w="993" w:type="dxa"/>
          </w:tcPr>
          <w:p w14:paraId="1153AEFB" w14:textId="57223BF8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5 pkt</w:t>
            </w:r>
          </w:p>
        </w:tc>
        <w:tc>
          <w:tcPr>
            <w:tcW w:w="1134" w:type="dxa"/>
            <w:vAlign w:val="center"/>
          </w:tcPr>
          <w:p w14:paraId="6B9B981E" w14:textId="4BF54881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5D3AE057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06EC5B25" w14:textId="557A6D9A" w:rsidTr="00396010">
        <w:trPr>
          <w:trHeight w:val="470"/>
        </w:trPr>
        <w:tc>
          <w:tcPr>
            <w:tcW w:w="709" w:type="dxa"/>
            <w:vMerge/>
            <w:tcBorders>
              <w:top w:val="nil"/>
            </w:tcBorders>
          </w:tcPr>
          <w:p w14:paraId="29D2A36B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0D41957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DCCD70" w14:textId="1E0083B4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100%</w:t>
            </w:r>
          </w:p>
        </w:tc>
        <w:tc>
          <w:tcPr>
            <w:tcW w:w="993" w:type="dxa"/>
          </w:tcPr>
          <w:p w14:paraId="38C20952" w14:textId="0C2B800F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10 pkt</w:t>
            </w:r>
          </w:p>
        </w:tc>
        <w:tc>
          <w:tcPr>
            <w:tcW w:w="1134" w:type="dxa"/>
            <w:vAlign w:val="center"/>
          </w:tcPr>
          <w:p w14:paraId="7340A5DB" w14:textId="1BEB5189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54CB856F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3218DB88" w14:textId="47C141E0" w:rsidTr="00396010">
        <w:trPr>
          <w:trHeight w:val="239"/>
        </w:trPr>
        <w:tc>
          <w:tcPr>
            <w:tcW w:w="709" w:type="dxa"/>
            <w:vMerge w:val="restart"/>
          </w:tcPr>
          <w:p w14:paraId="5570A5E7" w14:textId="77777777" w:rsidR="000833D8" w:rsidRPr="00CB39C7" w:rsidRDefault="000833D8" w:rsidP="000833D8">
            <w:pPr>
              <w:rPr>
                <w:rFonts w:ascii="Arial" w:eastAsia="Tahoma" w:hAnsi="Arial" w:cs="Arial"/>
                <w:i/>
                <w:sz w:val="20"/>
                <w:szCs w:val="20"/>
              </w:rPr>
            </w:pPr>
          </w:p>
          <w:p w14:paraId="7A4E1BF6" w14:textId="5D997C3D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Tahoma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4537" w:type="dxa"/>
            <w:vMerge w:val="restart"/>
          </w:tcPr>
          <w:p w14:paraId="07E092C5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Zwiększenie limitu odpowiedzialności dla przezornej</w:t>
            </w:r>
          </w:p>
          <w:p w14:paraId="38F712B9" w14:textId="4D6B4C1C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sumy ubezpieczenia (w klauzuli przezornej sumy ubezpieczenia)</w:t>
            </w:r>
          </w:p>
        </w:tc>
        <w:tc>
          <w:tcPr>
            <w:tcW w:w="2410" w:type="dxa"/>
          </w:tcPr>
          <w:p w14:paraId="799602E5" w14:textId="2B085C48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50%</w:t>
            </w:r>
          </w:p>
        </w:tc>
        <w:tc>
          <w:tcPr>
            <w:tcW w:w="993" w:type="dxa"/>
          </w:tcPr>
          <w:p w14:paraId="0AF9F42B" w14:textId="0DC54355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5 pkt</w:t>
            </w:r>
          </w:p>
        </w:tc>
        <w:tc>
          <w:tcPr>
            <w:tcW w:w="1134" w:type="dxa"/>
            <w:vAlign w:val="center"/>
          </w:tcPr>
          <w:p w14:paraId="316E66FF" w14:textId="2DA3B1FD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5C091327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7A8811E4" w14:textId="6BA01A47" w:rsidTr="00396010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14:paraId="7EAAB5F0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612A79A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B4C30B" w14:textId="274B5703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100%</w:t>
            </w:r>
          </w:p>
        </w:tc>
        <w:tc>
          <w:tcPr>
            <w:tcW w:w="993" w:type="dxa"/>
          </w:tcPr>
          <w:p w14:paraId="65AB5FD3" w14:textId="46CCD3E1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10 pkt</w:t>
            </w:r>
          </w:p>
        </w:tc>
        <w:tc>
          <w:tcPr>
            <w:tcW w:w="1134" w:type="dxa"/>
            <w:vAlign w:val="center"/>
          </w:tcPr>
          <w:p w14:paraId="20A0BDE7" w14:textId="7BEFF9BE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781CF878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41DB07FB" w14:textId="57F0BB73" w:rsidTr="00396010">
        <w:trPr>
          <w:trHeight w:val="239"/>
        </w:trPr>
        <w:tc>
          <w:tcPr>
            <w:tcW w:w="709" w:type="dxa"/>
            <w:vMerge w:val="restart"/>
          </w:tcPr>
          <w:p w14:paraId="5484B630" w14:textId="21124D18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Tahoma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4537" w:type="dxa"/>
            <w:vMerge w:val="restart"/>
          </w:tcPr>
          <w:p w14:paraId="4AC406B6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Zwiększenie</w:t>
            </w: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ab/>
              <w:t>limitu</w:t>
            </w: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ab/>
              <w:t>odpowiedzialności dla szkód</w:t>
            </w:r>
          </w:p>
          <w:p w14:paraId="0A6A47CA" w14:textId="5D42590B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mechanicznych (w klauzuli szkód mechanicznych)</w:t>
            </w:r>
          </w:p>
        </w:tc>
        <w:tc>
          <w:tcPr>
            <w:tcW w:w="2410" w:type="dxa"/>
          </w:tcPr>
          <w:p w14:paraId="2A50C5E3" w14:textId="35F1DB0E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50%</w:t>
            </w:r>
          </w:p>
        </w:tc>
        <w:tc>
          <w:tcPr>
            <w:tcW w:w="993" w:type="dxa"/>
          </w:tcPr>
          <w:p w14:paraId="77C45418" w14:textId="76F00953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5 pkt</w:t>
            </w:r>
          </w:p>
        </w:tc>
        <w:tc>
          <w:tcPr>
            <w:tcW w:w="1134" w:type="dxa"/>
            <w:vAlign w:val="center"/>
          </w:tcPr>
          <w:p w14:paraId="64257363" w14:textId="404CEF20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49541F97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4A856AD3" w14:textId="41F78BAF" w:rsidTr="00396010">
        <w:trPr>
          <w:trHeight w:val="470"/>
        </w:trPr>
        <w:tc>
          <w:tcPr>
            <w:tcW w:w="709" w:type="dxa"/>
            <w:vMerge/>
            <w:tcBorders>
              <w:top w:val="nil"/>
            </w:tcBorders>
          </w:tcPr>
          <w:p w14:paraId="0ACDEF98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96D51AB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E2D07C" w14:textId="0AEBCC2F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100%</w:t>
            </w:r>
          </w:p>
        </w:tc>
        <w:tc>
          <w:tcPr>
            <w:tcW w:w="993" w:type="dxa"/>
          </w:tcPr>
          <w:p w14:paraId="4564E3D6" w14:textId="3DF6113D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10 pkt</w:t>
            </w:r>
          </w:p>
        </w:tc>
        <w:tc>
          <w:tcPr>
            <w:tcW w:w="1134" w:type="dxa"/>
            <w:vAlign w:val="center"/>
          </w:tcPr>
          <w:p w14:paraId="670F2701" w14:textId="627E7743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50B68287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2C9299FE" w14:textId="764C7CAE" w:rsidTr="00396010">
        <w:trPr>
          <w:trHeight w:val="239"/>
        </w:trPr>
        <w:tc>
          <w:tcPr>
            <w:tcW w:w="709" w:type="dxa"/>
            <w:vMerge w:val="restart"/>
          </w:tcPr>
          <w:p w14:paraId="7B5FF192" w14:textId="338A472D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Tahoma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4537" w:type="dxa"/>
            <w:vMerge w:val="restart"/>
          </w:tcPr>
          <w:p w14:paraId="276606E4" w14:textId="5EE78F51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Zwiększenie limitu odpowiedzialności dla szkód elektrycznych (w klauzuli szkód elektrycznych)</w:t>
            </w:r>
          </w:p>
        </w:tc>
        <w:tc>
          <w:tcPr>
            <w:tcW w:w="2410" w:type="dxa"/>
          </w:tcPr>
          <w:p w14:paraId="102327CE" w14:textId="55964A48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50%</w:t>
            </w:r>
          </w:p>
        </w:tc>
        <w:tc>
          <w:tcPr>
            <w:tcW w:w="993" w:type="dxa"/>
          </w:tcPr>
          <w:p w14:paraId="2FBACE8C" w14:textId="56912BC9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5 pkt</w:t>
            </w:r>
          </w:p>
        </w:tc>
        <w:tc>
          <w:tcPr>
            <w:tcW w:w="1134" w:type="dxa"/>
            <w:vAlign w:val="center"/>
          </w:tcPr>
          <w:p w14:paraId="0D5FA78C" w14:textId="28B240F9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6F582302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3E152896" w14:textId="4466FC2A" w:rsidTr="00396010">
        <w:trPr>
          <w:trHeight w:val="239"/>
        </w:trPr>
        <w:tc>
          <w:tcPr>
            <w:tcW w:w="709" w:type="dxa"/>
            <w:vMerge/>
            <w:tcBorders>
              <w:top w:val="nil"/>
            </w:tcBorders>
          </w:tcPr>
          <w:p w14:paraId="0F2A638B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68397CCC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758BE2" w14:textId="15566FF6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100%</w:t>
            </w:r>
          </w:p>
        </w:tc>
        <w:tc>
          <w:tcPr>
            <w:tcW w:w="993" w:type="dxa"/>
          </w:tcPr>
          <w:p w14:paraId="3884148D" w14:textId="39DA4195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10 pkt</w:t>
            </w:r>
          </w:p>
        </w:tc>
        <w:tc>
          <w:tcPr>
            <w:tcW w:w="1134" w:type="dxa"/>
            <w:vAlign w:val="center"/>
          </w:tcPr>
          <w:p w14:paraId="65040DE9" w14:textId="59735F0E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3DE4B60B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7C816656" w14:textId="1B5D2FBF" w:rsidTr="00396010">
        <w:trPr>
          <w:trHeight w:val="239"/>
        </w:trPr>
        <w:tc>
          <w:tcPr>
            <w:tcW w:w="709" w:type="dxa"/>
            <w:vMerge w:val="restart"/>
          </w:tcPr>
          <w:p w14:paraId="4CC2CCBF" w14:textId="3960E78A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Tahoma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4537" w:type="dxa"/>
            <w:vMerge w:val="restart"/>
          </w:tcPr>
          <w:p w14:paraId="68359573" w14:textId="5F3BC0F3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Zwiększenie sumy gwarancyjnej w ubezpieczeniu odpowiedzialności cywilnej deliktowej i kontraktowej</w:t>
            </w:r>
          </w:p>
        </w:tc>
        <w:tc>
          <w:tcPr>
            <w:tcW w:w="2410" w:type="dxa"/>
          </w:tcPr>
          <w:p w14:paraId="6AB3435A" w14:textId="705991D1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SG o </w:t>
            </w:r>
            <w:r>
              <w:rPr>
                <w:rFonts w:ascii="Arial" w:eastAsia="Tahoma" w:hAnsi="Arial" w:cs="Arial"/>
                <w:i/>
                <w:sz w:val="20"/>
                <w:szCs w:val="20"/>
              </w:rPr>
              <w:t>10</w:t>
            </w: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0%</w:t>
            </w:r>
          </w:p>
        </w:tc>
        <w:tc>
          <w:tcPr>
            <w:tcW w:w="993" w:type="dxa"/>
          </w:tcPr>
          <w:p w14:paraId="7A2BC715" w14:textId="10562DBE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/>
                <w:sz w:val="20"/>
                <w:szCs w:val="20"/>
              </w:rPr>
              <w:t>10</w:t>
            </w: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14:paraId="33D3D727" w14:textId="3A128AAE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60FD687C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67D466DD" w14:textId="774AD803" w:rsidTr="007759E3">
        <w:trPr>
          <w:trHeight w:val="244"/>
        </w:trPr>
        <w:tc>
          <w:tcPr>
            <w:tcW w:w="709" w:type="dxa"/>
            <w:vMerge/>
            <w:tcBorders>
              <w:top w:val="nil"/>
            </w:tcBorders>
          </w:tcPr>
          <w:p w14:paraId="0B3FFF3C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12F5C5E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F74523" w14:textId="19B085FF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SG o </w:t>
            </w:r>
            <w:r>
              <w:rPr>
                <w:rFonts w:ascii="Arial" w:eastAsia="Tahoma" w:hAnsi="Arial" w:cs="Arial"/>
                <w:i/>
                <w:sz w:val="20"/>
                <w:szCs w:val="20"/>
              </w:rPr>
              <w:t>2</w:t>
            </w: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00%</w:t>
            </w:r>
          </w:p>
        </w:tc>
        <w:tc>
          <w:tcPr>
            <w:tcW w:w="993" w:type="dxa"/>
          </w:tcPr>
          <w:p w14:paraId="29241207" w14:textId="45B66674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/>
                <w:sz w:val="20"/>
                <w:szCs w:val="20"/>
              </w:rPr>
              <w:t>2</w:t>
            </w: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0 pkt</w:t>
            </w:r>
          </w:p>
        </w:tc>
        <w:tc>
          <w:tcPr>
            <w:tcW w:w="1134" w:type="dxa"/>
            <w:vAlign w:val="center"/>
          </w:tcPr>
          <w:p w14:paraId="484B1E6D" w14:textId="18DF7B0E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0D4DD51E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148811DC" w14:textId="09601A17" w:rsidTr="007759E3">
        <w:trPr>
          <w:trHeight w:val="239"/>
        </w:trPr>
        <w:tc>
          <w:tcPr>
            <w:tcW w:w="709" w:type="dxa"/>
            <w:vMerge w:val="restart"/>
          </w:tcPr>
          <w:p w14:paraId="5A7B2D33" w14:textId="73D27891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Tahoma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4537" w:type="dxa"/>
            <w:vMerge w:val="restart"/>
          </w:tcPr>
          <w:p w14:paraId="4281D7E4" w14:textId="755AEBD2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177394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Zwiększenie limitu odpowiedzialności w ubezpieczeniu odpowiedzialności cywilnej zarządcy drogi</w:t>
            </w:r>
          </w:p>
        </w:tc>
        <w:tc>
          <w:tcPr>
            <w:tcW w:w="2410" w:type="dxa"/>
          </w:tcPr>
          <w:p w14:paraId="0A4421EB" w14:textId="2E577EBE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25%</w:t>
            </w:r>
          </w:p>
        </w:tc>
        <w:tc>
          <w:tcPr>
            <w:tcW w:w="993" w:type="dxa"/>
          </w:tcPr>
          <w:p w14:paraId="72D5F0E9" w14:textId="187383B1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5 pkt</w:t>
            </w:r>
          </w:p>
        </w:tc>
        <w:tc>
          <w:tcPr>
            <w:tcW w:w="1134" w:type="dxa"/>
            <w:vAlign w:val="center"/>
          </w:tcPr>
          <w:p w14:paraId="0EE9F708" w14:textId="508091E4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</w:tcPr>
          <w:p w14:paraId="46D59EA6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0833D8" w:rsidRPr="00177394" w14:paraId="4243A67F" w14:textId="63A71D36" w:rsidTr="007759E3">
        <w:trPr>
          <w:trHeight w:val="239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14:paraId="4321D819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bottom w:val="single" w:sz="4" w:space="0" w:color="auto"/>
            </w:tcBorders>
          </w:tcPr>
          <w:p w14:paraId="046C133F" w14:textId="77777777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2B1B66" w14:textId="04D8967C" w:rsidR="000833D8" w:rsidRPr="00177394" w:rsidRDefault="000833D8" w:rsidP="000833D8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Zwiększenie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limitu</w:t>
            </w:r>
            <w:proofErr w:type="spellEnd"/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 xml:space="preserve"> o 50%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C6E4C8" w14:textId="361435B8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i/>
                <w:sz w:val="20"/>
                <w:szCs w:val="20"/>
              </w:rPr>
              <w:t>10 pkt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42E65E" w14:textId="6F69AE71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18852C" w14:textId="77777777" w:rsidR="000833D8" w:rsidRPr="00177394" w:rsidRDefault="000833D8" w:rsidP="000833D8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177394" w14:paraId="6BD0323B" w14:textId="77777777" w:rsidTr="0099779B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25B82" w14:textId="77777777" w:rsidR="0099779B" w:rsidRPr="00177394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D5AEC" w14:textId="77777777" w:rsidR="0099779B" w:rsidRPr="00177394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601A0" w14:textId="77777777" w:rsidR="0099779B" w:rsidRPr="00177394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193490" w14:textId="77777777" w:rsidR="0099779B" w:rsidRPr="00177394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F31" w14:textId="0ADDF8D8" w:rsidR="0099779B" w:rsidRPr="0099779B" w:rsidRDefault="0099779B" w:rsidP="0099779B">
            <w:pPr>
              <w:jc w:val="right"/>
              <w:rPr>
                <w:rFonts w:ascii="Arial" w:eastAsia="Tahoma" w:hAnsi="Arial" w:cs="Arial"/>
                <w:b/>
                <w:bCs/>
                <w:iCs/>
                <w:sz w:val="20"/>
                <w:szCs w:val="20"/>
              </w:rPr>
            </w:pPr>
            <w:r w:rsidRPr="0099779B">
              <w:rPr>
                <w:rFonts w:ascii="Arial" w:eastAsia="Tahoma" w:hAnsi="Arial" w:cs="Arial"/>
                <w:b/>
                <w:bCs/>
                <w:iCs/>
                <w:sz w:val="20"/>
                <w:szCs w:val="20"/>
              </w:rPr>
              <w:t>ŁĄCZNIE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48F" w14:textId="77777777" w:rsidR="0099779B" w:rsidRPr="00177394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</w:tbl>
    <w:p w14:paraId="32F2A40F" w14:textId="0CD6AECB" w:rsidR="00F8746A" w:rsidRDefault="00F8746A" w:rsidP="00F8746A">
      <w:pPr>
        <w:widowControl w:val="0"/>
        <w:autoSpaceDE w:val="0"/>
        <w:autoSpaceDN w:val="0"/>
        <w:rPr>
          <w:rFonts w:ascii="Arial" w:eastAsia="Tahoma" w:hAnsi="Arial" w:cs="Arial"/>
          <w:iCs/>
          <w:sz w:val="20"/>
          <w:szCs w:val="20"/>
        </w:rPr>
      </w:pPr>
    </w:p>
    <w:p w14:paraId="22FC6389" w14:textId="478344AD" w:rsidR="0099779B" w:rsidRDefault="0099779B" w:rsidP="00F8746A">
      <w:pPr>
        <w:widowControl w:val="0"/>
        <w:autoSpaceDE w:val="0"/>
        <w:autoSpaceDN w:val="0"/>
        <w:rPr>
          <w:rFonts w:ascii="Arial" w:eastAsia="Tahoma" w:hAnsi="Arial" w:cs="Arial"/>
          <w:iCs/>
          <w:sz w:val="20"/>
          <w:szCs w:val="20"/>
        </w:rPr>
      </w:pPr>
    </w:p>
    <w:p w14:paraId="218C9071" w14:textId="1F4C2A26" w:rsidR="00F8746A" w:rsidRPr="00C21D00" w:rsidRDefault="00F8746A" w:rsidP="00F8746A">
      <w:pPr>
        <w:pStyle w:val="Nagwek4"/>
        <w:widowControl w:val="0"/>
        <w:suppressAutoHyphens/>
        <w:spacing w:line="360" w:lineRule="auto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Maksymalna ilość punktów za ryzyka dodatkowe podlegające ocenie w CZEŚCI  I – </w:t>
      </w:r>
      <w:r>
        <w:rPr>
          <w:rFonts w:ascii="Arial" w:hAnsi="Arial" w:cs="Arial"/>
          <w:sz w:val="22"/>
          <w:szCs w:val="22"/>
        </w:rPr>
        <w:lastRenderedPageBreak/>
        <w:t xml:space="preserve">zwiększenie limitów – 100 pkt  </w:t>
      </w:r>
    </w:p>
    <w:p w14:paraId="288E1359" w14:textId="3D586C40" w:rsidR="00F8746A" w:rsidRDefault="00F8746A" w:rsidP="00F8746A">
      <w:pPr>
        <w:widowControl w:val="0"/>
        <w:autoSpaceDE w:val="0"/>
        <w:autoSpaceDN w:val="0"/>
        <w:ind w:right="130"/>
        <w:jc w:val="both"/>
        <w:rPr>
          <w:rFonts w:ascii="Arial" w:eastAsia="Tahoma" w:hAnsi="Arial" w:cs="Arial"/>
          <w:b/>
        </w:rPr>
      </w:pPr>
    </w:p>
    <w:p w14:paraId="043DABAB" w14:textId="77777777" w:rsidR="0099779B" w:rsidRPr="00CB39C7" w:rsidRDefault="0099779B" w:rsidP="00F8746A">
      <w:pPr>
        <w:widowControl w:val="0"/>
        <w:autoSpaceDE w:val="0"/>
        <w:autoSpaceDN w:val="0"/>
        <w:ind w:right="130"/>
        <w:jc w:val="both"/>
        <w:rPr>
          <w:rFonts w:ascii="Arial" w:eastAsia="Tahoma" w:hAnsi="Arial" w:cs="Arial"/>
          <w:b/>
        </w:rPr>
      </w:pPr>
    </w:p>
    <w:tbl>
      <w:tblPr>
        <w:tblStyle w:val="TableNormal1"/>
        <w:tblW w:w="10774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992"/>
        <w:gridCol w:w="1276"/>
        <w:gridCol w:w="1559"/>
      </w:tblGrid>
      <w:tr w:rsidR="0099779B" w:rsidRPr="00CB39C7" w14:paraId="6C5EFB67" w14:textId="130E4070" w:rsidTr="0099779B">
        <w:trPr>
          <w:trHeight w:val="479"/>
        </w:trPr>
        <w:tc>
          <w:tcPr>
            <w:tcW w:w="709" w:type="dxa"/>
          </w:tcPr>
          <w:p w14:paraId="6D88FE11" w14:textId="77777777" w:rsidR="0099779B" w:rsidRPr="00CB39C7" w:rsidRDefault="0099779B" w:rsidP="0099779B">
            <w:pPr>
              <w:rPr>
                <w:rFonts w:ascii="Arial" w:eastAsia="Tahoma" w:hAnsi="Arial" w:cs="Arial"/>
                <w:b/>
                <w:iCs/>
                <w:sz w:val="20"/>
                <w:szCs w:val="20"/>
              </w:rPr>
            </w:pPr>
            <w:r w:rsidRPr="00CB39C7"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Nr </w:t>
            </w:r>
            <w:proofErr w:type="spellStart"/>
            <w:r w:rsidRPr="00CB39C7">
              <w:rPr>
                <w:rFonts w:ascii="Arial" w:eastAsia="Tahoma" w:hAnsi="Arial" w:cs="Arial"/>
                <w:b/>
                <w:iCs/>
                <w:sz w:val="20"/>
                <w:szCs w:val="20"/>
              </w:rPr>
              <w:t>klauzuli</w:t>
            </w:r>
            <w:proofErr w:type="spellEnd"/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3B87CFFB" w14:textId="77777777" w:rsidR="0099779B" w:rsidRPr="00CB39C7" w:rsidRDefault="0099779B" w:rsidP="0099779B">
            <w:pPr>
              <w:ind w:left="144" w:hanging="144"/>
              <w:rPr>
                <w:rFonts w:ascii="Arial" w:eastAsia="Tahoma" w:hAnsi="Arial" w:cs="Arial"/>
                <w:b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b/>
                <w:iCs/>
                <w:sz w:val="20"/>
                <w:szCs w:val="20"/>
              </w:rPr>
              <w:t>Nazwa</w:t>
            </w:r>
            <w:proofErr w:type="spellEnd"/>
            <w:r w:rsidRPr="00CB39C7"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b/>
                <w:iCs/>
                <w:sz w:val="20"/>
                <w:szCs w:val="20"/>
              </w:rPr>
              <w:t>klauzuli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6442A91F" w14:textId="77777777" w:rsidR="0099779B" w:rsidRPr="00CB39C7" w:rsidRDefault="0099779B" w:rsidP="0099779B">
            <w:pPr>
              <w:rPr>
                <w:rFonts w:ascii="Arial" w:eastAsia="Tahoma" w:hAnsi="Arial" w:cs="Arial"/>
                <w:b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b/>
                <w:iCs/>
                <w:sz w:val="20"/>
                <w:szCs w:val="20"/>
              </w:rPr>
              <w:t>Liczba</w:t>
            </w:r>
            <w:proofErr w:type="spellEnd"/>
            <w:r w:rsidRPr="00CB39C7"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B39C7">
              <w:rPr>
                <w:rFonts w:ascii="Arial" w:eastAsia="Tahoma" w:hAnsi="Arial" w:cs="Arial"/>
                <w:b/>
                <w:iCs/>
                <w:sz w:val="20"/>
                <w:szCs w:val="20"/>
              </w:rPr>
              <w:t>punktów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</w:tcBorders>
          </w:tcPr>
          <w:p w14:paraId="50E45C8E" w14:textId="3F9A998A" w:rsidR="0099779B" w:rsidRPr="00CB39C7" w:rsidRDefault="0099779B" w:rsidP="0099779B">
            <w:pPr>
              <w:rPr>
                <w:rFonts w:ascii="Arial" w:eastAsia="Tahoma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TAK / 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24CAD664" w14:textId="2901207F" w:rsidR="0099779B" w:rsidRPr="00CB39C7" w:rsidRDefault="0099779B" w:rsidP="0099779B">
            <w:pPr>
              <w:rPr>
                <w:rFonts w:ascii="Arial" w:eastAsia="Tahoma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>Liczba</w:t>
            </w:r>
            <w:proofErr w:type="spellEnd"/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>punktów</w:t>
            </w:r>
            <w:proofErr w:type="spellEnd"/>
          </w:p>
        </w:tc>
      </w:tr>
      <w:tr w:rsidR="0099779B" w:rsidRPr="00CB39C7" w14:paraId="437F0B93" w14:textId="02175F65" w:rsidTr="005B42BA">
        <w:trPr>
          <w:trHeight w:val="345"/>
        </w:trPr>
        <w:tc>
          <w:tcPr>
            <w:tcW w:w="709" w:type="dxa"/>
          </w:tcPr>
          <w:p w14:paraId="12DF82E6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38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23AD7B5C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Klauzul</w:t>
            </w:r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ubezpieczenia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kosztów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związanych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praca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godzinach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nadliczbowych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51624F0A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73148327" w14:textId="299CC823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55B34622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2D2AF3ED" w14:textId="6083763C" w:rsidTr="005B42BA">
        <w:trPr>
          <w:trHeight w:val="340"/>
        </w:trPr>
        <w:tc>
          <w:tcPr>
            <w:tcW w:w="709" w:type="dxa"/>
          </w:tcPr>
          <w:p w14:paraId="7BEBD12D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39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20C4B631" w14:textId="77777777" w:rsidR="0099779B" w:rsidRPr="007B554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ochrony mienia wyłączonego z eksploatacji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358E3F9B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2 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>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1F53FF45" w14:textId="7EB6A31B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2E5BB497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349431DB" w14:textId="0F0BBCF3" w:rsidTr="005B42BA">
        <w:trPr>
          <w:trHeight w:val="318"/>
        </w:trPr>
        <w:tc>
          <w:tcPr>
            <w:tcW w:w="709" w:type="dxa"/>
          </w:tcPr>
          <w:p w14:paraId="63DCA409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40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228DDE6A" w14:textId="77777777" w:rsidR="0099779B" w:rsidRPr="007B554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ochrony mienia nieprzygotowanego do pracy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379A46A0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2 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>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50A66DF3" w14:textId="3F9C2C15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505C669B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0533AA05" w14:textId="4627EBDA" w:rsidTr="005B42BA">
        <w:trPr>
          <w:trHeight w:val="266"/>
        </w:trPr>
        <w:tc>
          <w:tcPr>
            <w:tcW w:w="709" w:type="dxa"/>
          </w:tcPr>
          <w:p w14:paraId="34496E35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41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0015C452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>Klauzula</w:t>
            </w:r>
            <w:proofErr w:type="spellEnd"/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zmiany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lokalizacji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odbudowie</w:t>
            </w:r>
            <w:proofErr w:type="spellEnd"/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5E1921D4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14EDF049" w14:textId="65540369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048FF6C5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510BAF23" w14:textId="6F150A77" w:rsidTr="005B42BA">
        <w:trPr>
          <w:trHeight w:val="380"/>
        </w:trPr>
        <w:tc>
          <w:tcPr>
            <w:tcW w:w="709" w:type="dxa"/>
          </w:tcPr>
          <w:p w14:paraId="2A0E476D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42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00D6F0A0" w14:textId="77777777" w:rsidR="0099779B" w:rsidRPr="007B554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zmian w odbudowie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50D9DD4D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29434B3D" w14:textId="6313AE8E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153F6B4C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457A17F9" w14:textId="5231F1CF" w:rsidTr="005B42BA">
        <w:trPr>
          <w:trHeight w:val="335"/>
        </w:trPr>
        <w:tc>
          <w:tcPr>
            <w:tcW w:w="709" w:type="dxa"/>
          </w:tcPr>
          <w:p w14:paraId="484AA0B0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43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72036B02" w14:textId="77777777" w:rsidR="0099779B" w:rsidRPr="007B554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aktów terroryzmu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082D1B39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12C396A1" w14:textId="051C6E82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61167FBE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54230013" w14:textId="27A98D20" w:rsidTr="005B42BA">
        <w:trPr>
          <w:trHeight w:val="272"/>
        </w:trPr>
        <w:tc>
          <w:tcPr>
            <w:tcW w:w="709" w:type="dxa"/>
          </w:tcPr>
          <w:p w14:paraId="77F6831F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44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47112A08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strajków rozruchów, zamieszek społecznych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788652CA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57C986D3" w14:textId="2EC81A70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2E97CAE9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5DEB3CC6" w14:textId="7838C700" w:rsidTr="005B42BA">
        <w:trPr>
          <w:trHeight w:val="382"/>
        </w:trPr>
        <w:tc>
          <w:tcPr>
            <w:tcW w:w="709" w:type="dxa"/>
          </w:tcPr>
          <w:p w14:paraId="5DC6B9EF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45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2BD7E848" w14:textId="77777777" w:rsidR="0099779B" w:rsidRPr="007B554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Klauzula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zaliczki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poczet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odszkodowania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14F6DF8F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558DA336" w14:textId="4DAB10C8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35373B8B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4F4651AF" w14:textId="2A1DAD05" w:rsidTr="005B42BA">
        <w:trPr>
          <w:trHeight w:val="274"/>
        </w:trPr>
        <w:tc>
          <w:tcPr>
            <w:tcW w:w="709" w:type="dxa"/>
          </w:tcPr>
          <w:p w14:paraId="2487713E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46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7B100DEB" w14:textId="77777777" w:rsidR="0099779B" w:rsidRPr="007B554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Klauzula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funduszu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prewencyjnego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31F2EBA1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12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5039F2E6" w14:textId="36AF972F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4F836C70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371E38A4" w14:textId="640BB833" w:rsidTr="005B42BA">
        <w:trPr>
          <w:trHeight w:val="336"/>
        </w:trPr>
        <w:tc>
          <w:tcPr>
            <w:tcW w:w="709" w:type="dxa"/>
          </w:tcPr>
          <w:p w14:paraId="57B88A61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47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5DA182FA" w14:textId="77777777" w:rsidR="0099779B" w:rsidRPr="007B554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Klauzula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zniżki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tytułu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niskiej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szkodowości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182AA590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10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32B91B3B" w14:textId="0947A75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30A66DF8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29D842E0" w14:textId="63470B4E" w:rsidTr="005B42BA">
        <w:trPr>
          <w:trHeight w:val="342"/>
        </w:trPr>
        <w:tc>
          <w:tcPr>
            <w:tcW w:w="709" w:type="dxa"/>
          </w:tcPr>
          <w:p w14:paraId="1D6FAF51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48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60A571B1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Klauzula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kompensacji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</w:rPr>
              <w:t xml:space="preserve"> sum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</w:rPr>
              <w:t>ubezpieczenia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46078724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</w:t>
            </w:r>
            <w:r w:rsidRPr="00CB39C7">
              <w:rPr>
                <w:rFonts w:ascii="Arial" w:eastAsia="Tahoma" w:hAnsi="Arial" w:cs="Arial"/>
                <w:i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22FD07EF" w14:textId="1CEB701A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3789A4AD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1B771FDF" w14:textId="45860BE5" w:rsidTr="005B42BA">
        <w:trPr>
          <w:trHeight w:val="342"/>
        </w:trPr>
        <w:tc>
          <w:tcPr>
            <w:tcW w:w="709" w:type="dxa"/>
          </w:tcPr>
          <w:p w14:paraId="688A5A33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49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1EB333AA" w14:textId="77777777" w:rsidR="0099779B" w:rsidRPr="00CB39C7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 uznania kosztów dodatkowych wynikających z braku części zamiennych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5BD1D221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148A4545" w14:textId="0F3851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428327DC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7306285E" w14:textId="408637E0" w:rsidTr="005B42BA">
        <w:trPr>
          <w:trHeight w:val="342"/>
        </w:trPr>
        <w:tc>
          <w:tcPr>
            <w:tcW w:w="709" w:type="dxa"/>
          </w:tcPr>
          <w:p w14:paraId="440E665C" w14:textId="77777777" w:rsidR="0099779B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50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7779A1AC" w14:textId="77777777" w:rsidR="0099779B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103C43EA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1CFFE56E" w14:textId="7E9A08A9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781A719A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1B7D2A2F" w14:textId="1736913D" w:rsidTr="005B42BA">
        <w:trPr>
          <w:trHeight w:val="342"/>
        </w:trPr>
        <w:tc>
          <w:tcPr>
            <w:tcW w:w="709" w:type="dxa"/>
          </w:tcPr>
          <w:p w14:paraId="4E479F79" w14:textId="77777777" w:rsidR="0099779B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51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2CBDD294" w14:textId="77777777" w:rsidR="0099779B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094447A5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10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043559BC" w14:textId="764B31B4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236E969F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99779B" w:rsidRPr="00CB39C7" w14:paraId="52C292F1" w14:textId="6CD95B72" w:rsidTr="005B42BA">
        <w:trPr>
          <w:trHeight w:val="342"/>
        </w:trPr>
        <w:tc>
          <w:tcPr>
            <w:tcW w:w="709" w:type="dxa"/>
          </w:tcPr>
          <w:p w14:paraId="2BC80B1E" w14:textId="77777777" w:rsidR="0099779B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52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345F40A9" w14:textId="77777777" w:rsidR="0099779B" w:rsidRDefault="0099779B" w:rsidP="0099779B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ubezpieczenia mienia poza ewidencją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4540672A" w14:textId="77777777" w:rsidR="0099779B" w:rsidRPr="00CB39C7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22E62422" w14:textId="3DBEBF66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69961554" w14:textId="77777777" w:rsidR="0099779B" w:rsidRDefault="0099779B" w:rsidP="0099779B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31516D" w:rsidRPr="00CB39C7" w14:paraId="5CA5FA21" w14:textId="1667E337" w:rsidTr="00AE2158">
        <w:trPr>
          <w:trHeight w:val="342"/>
        </w:trPr>
        <w:tc>
          <w:tcPr>
            <w:tcW w:w="709" w:type="dxa"/>
          </w:tcPr>
          <w:p w14:paraId="0D8C1BD8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53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5314DD59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konserwatorska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627C7BCB" w14:textId="77777777" w:rsidR="0031516D" w:rsidRPr="00CB39C7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42B578EF" w14:textId="5282E03E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2A84769F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31516D" w:rsidRPr="00CB39C7" w14:paraId="61779876" w14:textId="2024E436" w:rsidTr="00AE2158">
        <w:trPr>
          <w:trHeight w:val="342"/>
        </w:trPr>
        <w:tc>
          <w:tcPr>
            <w:tcW w:w="709" w:type="dxa"/>
          </w:tcPr>
          <w:p w14:paraId="6679A698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54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63F8F08E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oględzin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60316188" w14:textId="77777777" w:rsidR="0031516D" w:rsidRPr="00CB39C7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731187EC" w14:textId="01E18DBC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4253A9F5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31516D" w:rsidRPr="00CB39C7" w14:paraId="75C893CC" w14:textId="151B8479" w:rsidTr="00AE2158">
        <w:trPr>
          <w:trHeight w:val="342"/>
        </w:trPr>
        <w:tc>
          <w:tcPr>
            <w:tcW w:w="709" w:type="dxa"/>
          </w:tcPr>
          <w:p w14:paraId="4420E2F3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55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3CAF5653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usunięcia przyczyn awarii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2D8F8406" w14:textId="77777777" w:rsidR="0031516D" w:rsidRPr="00CB39C7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12C7988F" w14:textId="4507054B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5BB5D5CB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31516D" w:rsidRPr="00CB39C7" w14:paraId="6293891C" w14:textId="00C5943B" w:rsidTr="00AE2158">
        <w:trPr>
          <w:trHeight w:val="342"/>
        </w:trPr>
        <w:tc>
          <w:tcPr>
            <w:tcW w:w="709" w:type="dxa"/>
          </w:tcPr>
          <w:p w14:paraId="2ADAED1A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56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2BC6B8D1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poszukiwania przyczyny szkody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01ACF083" w14:textId="77777777" w:rsidR="0031516D" w:rsidRPr="00CB39C7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63C47BD5" w14:textId="3962D73B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36D43B34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31516D" w:rsidRPr="00CB39C7" w14:paraId="5C4C32EF" w14:textId="5A553509" w:rsidTr="00AE2158">
        <w:trPr>
          <w:trHeight w:val="342"/>
        </w:trPr>
        <w:tc>
          <w:tcPr>
            <w:tcW w:w="709" w:type="dxa"/>
          </w:tcPr>
          <w:p w14:paraId="50FFE7DE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57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046F0153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stempla bankowego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3192802E" w14:textId="77777777" w:rsidR="0031516D" w:rsidRPr="00CB39C7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5F3F2EF6" w14:textId="1FE7B9C5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11E08126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31516D" w:rsidRPr="00CB39C7" w14:paraId="7481745B" w14:textId="4B37E381" w:rsidTr="00AE2158">
        <w:trPr>
          <w:trHeight w:val="342"/>
        </w:trPr>
        <w:tc>
          <w:tcPr>
            <w:tcW w:w="709" w:type="dxa"/>
          </w:tcPr>
          <w:p w14:paraId="724AECF0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58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3F70A587" w14:textId="77777777" w:rsidR="0031516D" w:rsidRPr="007B5547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zbycia przedmiotów ubezpieczenia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5F8B0D13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2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7074BA51" w14:textId="17CE6B0C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3A1F9FA2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31516D" w:rsidRPr="00CB39C7" w14:paraId="5F9DE023" w14:textId="2A76B7B1" w:rsidTr="00AE2158">
        <w:trPr>
          <w:trHeight w:val="342"/>
        </w:trPr>
        <w:tc>
          <w:tcPr>
            <w:tcW w:w="709" w:type="dxa"/>
          </w:tcPr>
          <w:p w14:paraId="2559BAD3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59</w:t>
            </w:r>
          </w:p>
        </w:tc>
        <w:tc>
          <w:tcPr>
            <w:tcW w:w="6238" w:type="dxa"/>
            <w:tcBorders>
              <w:right w:val="single" w:sz="2" w:space="0" w:color="000000"/>
            </w:tcBorders>
          </w:tcPr>
          <w:p w14:paraId="7E60FC8D" w14:textId="77777777" w:rsidR="0031516D" w:rsidRPr="007B5547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ubezpieczenia od daty dostawy do daty eksploatacji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69C5AD7F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 pkt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0E1ECDCE" w14:textId="64ED72D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14:paraId="2771DDC4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31516D" w:rsidRPr="00CB39C7" w14:paraId="4A35D1D2" w14:textId="50B59A66" w:rsidTr="00AE2158">
        <w:trPr>
          <w:trHeight w:val="342"/>
        </w:trPr>
        <w:tc>
          <w:tcPr>
            <w:tcW w:w="709" w:type="dxa"/>
            <w:tcBorders>
              <w:bottom w:val="single" w:sz="4" w:space="0" w:color="auto"/>
            </w:tcBorders>
          </w:tcPr>
          <w:p w14:paraId="46AC9A59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60</w:t>
            </w:r>
          </w:p>
        </w:tc>
        <w:tc>
          <w:tcPr>
            <w:tcW w:w="6238" w:type="dxa"/>
            <w:tcBorders>
              <w:bottom w:val="single" w:sz="4" w:space="0" w:color="auto"/>
              <w:right w:val="single" w:sz="2" w:space="0" w:color="000000"/>
            </w:tcBorders>
          </w:tcPr>
          <w:p w14:paraId="66AA16EE" w14:textId="77777777" w:rsidR="0031516D" w:rsidRPr="007B5547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tymczasowego magazynowania lub chwilowej przerwy w eksploatacji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14:paraId="263E970F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5 pkt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45231BB" w14:textId="045B86E3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14:paraId="61F12500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31516D" w:rsidRPr="00CB39C7" w14:paraId="20E78760" w14:textId="520BE7AB" w:rsidTr="00AE2158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80C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61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B744" w14:textId="77777777" w:rsidR="0031516D" w:rsidRPr="007B5547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7B5547"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Klauzula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Cyber</w:t>
            </w:r>
            <w:proofErr w:type="spellEnd"/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eastAsia="Tahoma" w:hAnsi="Arial" w:cs="Arial"/>
                <w:iCs/>
                <w:sz w:val="20"/>
                <w:szCs w:val="20"/>
                <w:lang w:val="pl-PL"/>
              </w:rPr>
              <w:t>Risk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3C6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10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E48" w14:textId="465271B4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0FE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  <w:tr w:rsidR="0031516D" w:rsidRPr="00CB39C7" w14:paraId="51EA587A" w14:textId="77777777" w:rsidTr="0099779B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314EB" w14:textId="77777777" w:rsidR="0031516D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64FAA" w14:textId="77777777" w:rsidR="0031516D" w:rsidRPr="007B5547" w:rsidRDefault="0031516D" w:rsidP="0031516D">
            <w:pPr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8B13DD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65D" w14:textId="382929C3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Cs/>
                <w:sz w:val="20"/>
                <w:szCs w:val="20"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6A6" w14:textId="77777777" w:rsidR="0031516D" w:rsidRDefault="0031516D" w:rsidP="0031516D">
            <w:pPr>
              <w:jc w:val="right"/>
              <w:rPr>
                <w:rFonts w:ascii="Arial" w:eastAsia="Tahoma" w:hAnsi="Arial" w:cs="Arial"/>
                <w:iCs/>
                <w:sz w:val="20"/>
                <w:szCs w:val="20"/>
              </w:rPr>
            </w:pPr>
          </w:p>
        </w:tc>
      </w:tr>
    </w:tbl>
    <w:p w14:paraId="6D413C8C" w14:textId="77777777" w:rsidR="00F8746A" w:rsidRDefault="00F8746A" w:rsidP="00F8746A">
      <w:pPr>
        <w:pStyle w:val="Akapitzlist"/>
        <w:ind w:left="567"/>
        <w:rPr>
          <w:rFonts w:ascii="Arial" w:hAnsi="Arial" w:cs="Arial"/>
          <w:b/>
          <w:bCs/>
          <w:color w:val="1F4E79" w:themeColor="accent5" w:themeShade="80"/>
          <w:u w:val="single"/>
        </w:rPr>
      </w:pPr>
    </w:p>
    <w:p w14:paraId="4E1FFD68" w14:textId="77777777" w:rsidR="0099779B" w:rsidRDefault="0099779B" w:rsidP="00F8746A">
      <w:pPr>
        <w:pStyle w:val="Nagwek4"/>
        <w:widowControl w:val="0"/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14:paraId="7ABCBC6B" w14:textId="2523166C" w:rsidR="00F8746A" w:rsidRDefault="00F8746A" w:rsidP="00F8746A">
      <w:pPr>
        <w:pStyle w:val="Nagwek4"/>
        <w:widowControl w:val="0"/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Maksymalna ilość punktów za ryzyka dodatkowe podlegające ocenie w CZEŚCI  I – 100 pkt  </w:t>
      </w:r>
    </w:p>
    <w:p w14:paraId="51490DD6" w14:textId="77777777" w:rsidR="004E20DB" w:rsidRDefault="004E20DB" w:rsidP="004E20DB">
      <w:pPr>
        <w:rPr>
          <w:lang w:val="x-none" w:eastAsia="x-none"/>
        </w:rPr>
      </w:pPr>
    </w:p>
    <w:p w14:paraId="1A2DCF96" w14:textId="77777777" w:rsidR="004E20DB" w:rsidRPr="004E20DB" w:rsidRDefault="004E20DB" w:rsidP="004E20DB">
      <w:pPr>
        <w:rPr>
          <w:lang w:val="x-none" w:eastAsia="x-none"/>
        </w:rPr>
      </w:pPr>
    </w:p>
    <w:p w14:paraId="5DA72362" w14:textId="77777777" w:rsidR="00F8746A" w:rsidRPr="00F8746A" w:rsidRDefault="00F8746A" w:rsidP="00F8746A">
      <w:pPr>
        <w:rPr>
          <w:lang w:val="x-none" w:eastAsia="x-none"/>
        </w:rPr>
      </w:pPr>
    </w:p>
    <w:p w14:paraId="283B6D8E" w14:textId="5DA9D126" w:rsidR="00A57CF1" w:rsidRPr="00745CAF" w:rsidRDefault="00A57CF1" w:rsidP="00745CAF">
      <w:pPr>
        <w:pStyle w:val="Nagwek4"/>
        <w:widowControl w:val="0"/>
        <w:tabs>
          <w:tab w:val="left" w:pos="0"/>
        </w:tabs>
        <w:suppressAutoHyphens/>
        <w:spacing w:line="360" w:lineRule="auto"/>
        <w:ind w:left="720"/>
        <w:jc w:val="center"/>
        <w:rPr>
          <w:rFonts w:ascii="Arial" w:hAnsi="Arial" w:cs="Arial"/>
          <w:bCs w:val="0"/>
          <w:lang w:val="pl-PL" w:eastAsia="pl-PL"/>
        </w:rPr>
      </w:pPr>
      <w:r w:rsidRPr="00745CAF">
        <w:rPr>
          <w:rFonts w:ascii="Arial" w:hAnsi="Arial" w:cs="Arial"/>
          <w:bCs w:val="0"/>
        </w:rPr>
        <w:lastRenderedPageBreak/>
        <w:t xml:space="preserve">dla CZĘŚCI ZAMÓWIENIA NR </w:t>
      </w:r>
      <w:r w:rsidRPr="00745CAF">
        <w:rPr>
          <w:rFonts w:ascii="Arial" w:hAnsi="Arial" w:cs="Arial"/>
          <w:bCs w:val="0"/>
          <w:lang w:val="pl-PL"/>
        </w:rPr>
        <w:t>2</w:t>
      </w:r>
    </w:p>
    <w:p w14:paraId="0AE6B88E" w14:textId="466281D9" w:rsidR="00A57CF1" w:rsidRDefault="00A57CF1" w:rsidP="00DD7173">
      <w:pPr>
        <w:pStyle w:val="Nagwek4"/>
        <w:widowControl w:val="0"/>
        <w:numPr>
          <w:ilvl w:val="0"/>
          <w:numId w:val="4"/>
        </w:numPr>
        <w:suppressAutoHyphens/>
        <w:spacing w:line="360" w:lineRule="auto"/>
        <w:jc w:val="left"/>
        <w:rPr>
          <w:rFonts w:ascii="Arial" w:hAnsi="Arial" w:cs="Arial"/>
          <w:bCs w:val="0"/>
          <w:color w:val="1F4E79" w:themeColor="accent5" w:themeShade="80"/>
          <w:u w:val="single"/>
        </w:rPr>
      </w:pPr>
      <w:r w:rsidRPr="0045150A">
        <w:rPr>
          <w:rFonts w:ascii="Arial" w:hAnsi="Arial" w:cs="Arial"/>
          <w:bCs w:val="0"/>
          <w:color w:val="1F4E79" w:themeColor="accent5" w:themeShade="80"/>
          <w:u w:val="single"/>
        </w:rPr>
        <w:t>Ubezpieczenia komunikacyjne</w:t>
      </w:r>
    </w:p>
    <w:p w14:paraId="6EBF9275" w14:textId="29E7F27F" w:rsidR="00DD7173" w:rsidRDefault="00DD7173" w:rsidP="00DD7173"/>
    <w:p w14:paraId="43C0D02F" w14:textId="77777777" w:rsidR="00DD7173" w:rsidRPr="00AF7B5C" w:rsidRDefault="00DD7173" w:rsidP="00DD7173">
      <w:pPr>
        <w:pStyle w:val="Nagwek4"/>
        <w:widowControl w:val="0"/>
        <w:numPr>
          <w:ilvl w:val="0"/>
          <w:numId w:val="5"/>
        </w:numPr>
        <w:tabs>
          <w:tab w:val="num" w:pos="360"/>
        </w:tabs>
        <w:suppressAutoHyphens/>
        <w:spacing w:line="360" w:lineRule="auto"/>
        <w:ind w:left="0" w:firstLine="0"/>
        <w:rPr>
          <w:rFonts w:ascii="Arial" w:hAnsi="Arial" w:cs="Arial"/>
          <w:b w:val="0"/>
          <w:bCs w:val="0"/>
          <w:i/>
          <w:iCs/>
          <w:color w:val="1F4E79" w:themeColor="accent5" w:themeShade="80"/>
          <w:sz w:val="22"/>
          <w:szCs w:val="22"/>
          <w:u w:val="single"/>
        </w:rPr>
      </w:pPr>
      <w:r w:rsidRPr="00AF7B5C">
        <w:rPr>
          <w:rFonts w:ascii="Arial" w:hAnsi="Arial" w:cs="Arial"/>
          <w:color w:val="1F4E79" w:themeColor="accent5" w:themeShade="80"/>
          <w:sz w:val="22"/>
          <w:szCs w:val="22"/>
          <w:u w:val="single"/>
        </w:rPr>
        <w:t>Ubezpieczenie OC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38"/>
        <w:gridCol w:w="992"/>
        <w:gridCol w:w="1276"/>
        <w:gridCol w:w="1559"/>
      </w:tblGrid>
      <w:tr w:rsidR="00F10E8B" w:rsidRPr="004F1BE6" w14:paraId="19934E84" w14:textId="0BB9132B" w:rsidTr="00F10E8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8BC" w14:textId="77777777" w:rsidR="00F10E8B" w:rsidRPr="004F1BE6" w:rsidRDefault="00F10E8B" w:rsidP="00F10E8B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016" w14:textId="77777777" w:rsidR="00F10E8B" w:rsidRPr="009454EE" w:rsidRDefault="00F10E8B" w:rsidP="00F10E8B">
            <w:pPr>
              <w:pStyle w:val="Tekstpodstawowy21"/>
              <w:tabs>
                <w:tab w:val="num" w:pos="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454EE">
              <w:rPr>
                <w:rFonts w:ascii="Arial" w:hAnsi="Arial" w:cs="Arial"/>
                <w:b/>
                <w:bCs/>
                <w:sz w:val="20"/>
              </w:rPr>
              <w:t>Dodatkowe świadczenia w ramach zawartej 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307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F1BE6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A9B" w14:textId="43F18EB1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TAK / 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EC2" w14:textId="24FBFD43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Liczba punktów</w:t>
            </w:r>
          </w:p>
        </w:tc>
      </w:tr>
      <w:tr w:rsidR="00F10E8B" w:rsidRPr="004F1BE6" w14:paraId="73896A1C" w14:textId="2FD13BFF" w:rsidTr="004D0F1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F8F" w14:textId="77777777" w:rsidR="00F10E8B" w:rsidRPr="004F1BE6" w:rsidRDefault="00F10E8B" w:rsidP="00F10E8B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1BE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4DE" w14:textId="77777777" w:rsidR="00F10E8B" w:rsidRPr="004F1BE6" w:rsidRDefault="00F10E8B" w:rsidP="00F10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BE6">
              <w:rPr>
                <w:rFonts w:ascii="Arial" w:hAnsi="Arial" w:cs="Arial"/>
                <w:b/>
                <w:sz w:val="20"/>
                <w:szCs w:val="20"/>
              </w:rPr>
              <w:t>pokrycie kosztów holowania</w:t>
            </w:r>
            <w:r w:rsidRPr="004F1BE6">
              <w:rPr>
                <w:rFonts w:ascii="Arial" w:hAnsi="Arial" w:cs="Arial"/>
                <w:sz w:val="20"/>
                <w:szCs w:val="20"/>
              </w:rPr>
              <w:t xml:space="preserve"> pojazdu po kolizji z innym pojazdem do 150 km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5345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F1BE6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C52" w14:textId="4EA0CB18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E6E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10E8B" w:rsidRPr="004F1BE6" w14:paraId="2661C3F0" w14:textId="79FBA624" w:rsidTr="004D0F1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1AC" w14:textId="77777777" w:rsidR="00F10E8B" w:rsidRPr="004F1BE6" w:rsidRDefault="00F10E8B" w:rsidP="00F10E8B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F1BE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D47" w14:textId="77777777" w:rsidR="00F10E8B" w:rsidRPr="004F1BE6" w:rsidRDefault="00F10E8B" w:rsidP="00F10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BE6">
              <w:rPr>
                <w:rFonts w:ascii="Arial" w:hAnsi="Arial" w:cs="Arial"/>
                <w:b/>
                <w:sz w:val="20"/>
                <w:szCs w:val="20"/>
              </w:rPr>
              <w:t xml:space="preserve">pokrycie kosztów naprawy pojazdu </w:t>
            </w:r>
            <w:r w:rsidRPr="004F1BE6">
              <w:rPr>
                <w:rFonts w:ascii="Arial" w:hAnsi="Arial" w:cs="Arial"/>
                <w:sz w:val="20"/>
                <w:szCs w:val="20"/>
              </w:rPr>
              <w:t xml:space="preserve">na miejscu po kolizji z innym pojazdem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822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F1BE6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D73E" w14:textId="099C33F6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022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10E8B" w:rsidRPr="004F1BE6" w14:paraId="1B074B1D" w14:textId="10FF3D62" w:rsidTr="00F10E8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1E3" w14:textId="77777777" w:rsidR="00F10E8B" w:rsidRPr="004F1BE6" w:rsidRDefault="00F10E8B" w:rsidP="00F10E8B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0D3" w14:textId="77777777" w:rsidR="00F10E8B" w:rsidRPr="004F1BE6" w:rsidRDefault="00F10E8B" w:rsidP="00F10E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Brak zastosowania franszyzy km w przypadku holowania pojazdu po wypadku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A56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07F8" w14:textId="4882087C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F30" w14:textId="7777777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10E8B" w:rsidRPr="004F1BE6" w14:paraId="27F0D248" w14:textId="57897BB2" w:rsidTr="00F10E8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129" w14:textId="77777777" w:rsidR="00F10E8B" w:rsidRPr="004F1BE6" w:rsidRDefault="00F10E8B" w:rsidP="00F10E8B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929" w14:textId="77777777" w:rsidR="00F10E8B" w:rsidRPr="004F1BE6" w:rsidRDefault="00F10E8B" w:rsidP="00F10E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1BE6">
              <w:rPr>
                <w:rFonts w:ascii="Arial" w:hAnsi="Arial" w:cs="Arial"/>
                <w:b/>
                <w:sz w:val="20"/>
                <w:szCs w:val="20"/>
              </w:rPr>
              <w:t xml:space="preserve">pokrycie kosztów </w:t>
            </w:r>
            <w:r w:rsidRPr="004F1BE6">
              <w:rPr>
                <w:rFonts w:ascii="Arial" w:hAnsi="Arial" w:cs="Arial"/>
                <w:sz w:val="20"/>
                <w:szCs w:val="20"/>
              </w:rPr>
              <w:t xml:space="preserve">parkowania pojazdu po kolizji z innym pojazdem poza godzinami pracy warsztatu (np. w porze nocnej lub w dni wolne od pracy) do 3 dni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445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E129" w14:textId="3F8C45A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E1F" w14:textId="7777777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10E8B" w:rsidRPr="004F1BE6" w14:paraId="1BCA583E" w14:textId="77777777" w:rsidTr="00F10E8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0218B" w14:textId="77777777" w:rsidR="00F10E8B" w:rsidRDefault="00F10E8B" w:rsidP="00F10E8B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3AD6F" w14:textId="77777777" w:rsidR="00F10E8B" w:rsidRPr="004F1BE6" w:rsidRDefault="00F10E8B" w:rsidP="00F10E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91504B" w14:textId="7777777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657" w14:textId="5FD535F5" w:rsidR="00F10E8B" w:rsidRPr="003F62EA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9F6" w14:textId="7777777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1F92D70" w14:textId="77777777" w:rsidR="00DD7173" w:rsidRPr="00DD7173" w:rsidRDefault="00DD7173" w:rsidP="00DD7173">
      <w:pPr>
        <w:pStyle w:val="Nagwek4"/>
        <w:widowControl w:val="0"/>
        <w:suppressAutoHyphens/>
        <w:spacing w:line="360" w:lineRule="auto"/>
        <w:rPr>
          <w:rFonts w:ascii="Arial" w:hAnsi="Arial" w:cs="Arial"/>
          <w:b w:val="0"/>
          <w:bCs w:val="0"/>
          <w:i/>
          <w:iCs/>
          <w:color w:val="1F4E79" w:themeColor="accent5" w:themeShade="80"/>
          <w:u w:val="single"/>
        </w:rPr>
      </w:pPr>
    </w:p>
    <w:p w14:paraId="5CBFD9BA" w14:textId="71F0E7CA" w:rsidR="00DD7173" w:rsidRPr="00AF7B5C" w:rsidRDefault="00DD7173" w:rsidP="00DD7173">
      <w:pPr>
        <w:pStyle w:val="Nagwek4"/>
        <w:widowControl w:val="0"/>
        <w:numPr>
          <w:ilvl w:val="0"/>
          <w:numId w:val="5"/>
        </w:numPr>
        <w:tabs>
          <w:tab w:val="num" w:pos="360"/>
        </w:tabs>
        <w:suppressAutoHyphens/>
        <w:spacing w:line="360" w:lineRule="auto"/>
        <w:ind w:left="0" w:firstLine="0"/>
        <w:rPr>
          <w:rFonts w:ascii="Arial" w:hAnsi="Arial" w:cs="Arial"/>
          <w:b w:val="0"/>
          <w:bCs w:val="0"/>
          <w:i/>
          <w:iCs/>
          <w:color w:val="1F4E79" w:themeColor="accent5" w:themeShade="80"/>
          <w:u w:val="single"/>
        </w:rPr>
      </w:pPr>
      <w:r w:rsidRPr="00AF7B5C">
        <w:rPr>
          <w:rFonts w:ascii="Arial" w:hAnsi="Arial" w:cs="Arial"/>
          <w:color w:val="1F4E79" w:themeColor="accent5" w:themeShade="80"/>
          <w:u w:val="single"/>
        </w:rPr>
        <w:t>Ubezpieczenie AC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38"/>
        <w:gridCol w:w="1062"/>
        <w:gridCol w:w="1206"/>
        <w:gridCol w:w="1559"/>
      </w:tblGrid>
      <w:tr w:rsidR="00F10E8B" w:rsidRPr="004F1BE6" w14:paraId="01106EA0" w14:textId="591F72F0" w:rsidTr="00F10E8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44B" w14:textId="77777777" w:rsidR="00F10E8B" w:rsidRPr="004F1BE6" w:rsidRDefault="00F10E8B" w:rsidP="00F10E8B">
            <w:pPr>
              <w:pStyle w:val="Tekstpodstawowy21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9A0" w14:textId="77777777" w:rsidR="00F10E8B" w:rsidRPr="004F1BE6" w:rsidRDefault="00F10E8B" w:rsidP="00F10E8B">
            <w:pPr>
              <w:rPr>
                <w:rFonts w:ascii="Arial" w:hAnsi="Arial" w:cs="Arial"/>
                <w:sz w:val="20"/>
                <w:szCs w:val="20"/>
              </w:rPr>
            </w:pPr>
            <w:r w:rsidRPr="004F1BE6">
              <w:rPr>
                <w:rFonts w:ascii="Arial" w:hAnsi="Arial" w:cs="Arial"/>
                <w:b/>
                <w:bCs/>
                <w:sz w:val="20"/>
                <w:szCs w:val="20"/>
              </w:rPr>
              <w:t>Franszyza integralna</w:t>
            </w:r>
            <w:r w:rsidRPr="004F1BE6">
              <w:rPr>
                <w:rFonts w:ascii="Arial" w:hAnsi="Arial" w:cs="Arial"/>
                <w:sz w:val="20"/>
                <w:szCs w:val="20"/>
              </w:rPr>
              <w:t>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ACB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D782" w14:textId="13312AA6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TAK / 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4EA9" w14:textId="603DEA3C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Tahoma" w:hAnsi="Arial" w:cs="Arial"/>
                <w:b/>
                <w:iCs/>
                <w:sz w:val="20"/>
                <w:szCs w:val="20"/>
              </w:rPr>
              <w:t xml:space="preserve"> Liczba punktów</w:t>
            </w:r>
          </w:p>
        </w:tc>
      </w:tr>
      <w:tr w:rsidR="00F10E8B" w:rsidRPr="004F1BE6" w14:paraId="583D1590" w14:textId="27D7EFF0" w:rsidTr="009D79C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3C8" w14:textId="77777777" w:rsidR="00F10E8B" w:rsidRDefault="00F10E8B" w:rsidP="00F10E8B">
            <w:pPr>
              <w:pStyle w:val="Tekstpodstawowy21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0AE" w14:textId="77777777" w:rsidR="00F10E8B" w:rsidRPr="004F1BE6" w:rsidRDefault="00F10E8B" w:rsidP="00F10E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Brak zastosowania franszyzy km w przypadku holowania pojazdu po wypadku lub awarii.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6B6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CE91" w14:textId="79332C49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B0A" w14:textId="7777777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10E8B" w:rsidRPr="004F1BE6" w14:paraId="0C091D65" w14:textId="5AE14F67" w:rsidTr="009D79C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2029" w14:textId="77777777" w:rsidR="00F10E8B" w:rsidRPr="004F1BE6" w:rsidRDefault="00F10E8B" w:rsidP="00F10E8B">
            <w:pPr>
              <w:pStyle w:val="Tekstpodstawowy21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F7C" w14:textId="77777777" w:rsidR="00F10E8B" w:rsidRPr="004F1BE6" w:rsidRDefault="00F10E8B" w:rsidP="00F10E8B">
            <w:pPr>
              <w:rPr>
                <w:rFonts w:ascii="Arial" w:hAnsi="Arial" w:cs="Arial"/>
                <w:sz w:val="20"/>
                <w:szCs w:val="20"/>
              </w:rPr>
            </w:pPr>
            <w:r w:rsidRPr="004F1BE6">
              <w:rPr>
                <w:rFonts w:ascii="Arial" w:hAnsi="Arial" w:cs="Arial"/>
                <w:b/>
                <w:color w:val="000000" w:themeColor="text1"/>
                <w:sz w:val="20"/>
              </w:rPr>
              <w:t>pokrycie kosztów holowania do warsztatu lub siedziby ubezpieczonego wskutek wypadku lub awarii</w:t>
            </w:r>
            <w:r w:rsidRPr="004F1BE6">
              <w:rPr>
                <w:rFonts w:ascii="Arial" w:hAnsi="Arial" w:cs="Arial"/>
                <w:color w:val="000000" w:themeColor="text1"/>
                <w:sz w:val="20"/>
              </w:rPr>
              <w:t xml:space="preserve"> - </w:t>
            </w:r>
            <w:proofErr w:type="spellStart"/>
            <w:r w:rsidRPr="004F1BE6">
              <w:rPr>
                <w:rFonts w:ascii="Arial" w:hAnsi="Arial" w:cs="Arial"/>
                <w:color w:val="000000" w:themeColor="text1"/>
                <w:sz w:val="20"/>
              </w:rPr>
              <w:t>podlimit</w:t>
            </w:r>
            <w:proofErr w:type="spellEnd"/>
            <w:r w:rsidRPr="004F1BE6">
              <w:rPr>
                <w:rFonts w:ascii="Arial" w:hAnsi="Arial" w:cs="Arial"/>
                <w:color w:val="000000" w:themeColor="text1"/>
                <w:sz w:val="20"/>
              </w:rPr>
              <w:t xml:space="preserve"> 2 000,00 PLN na jedno i wszystkie zdarzenia w rocznym okresie ubezpieczenia – dla zdarzeń na terytorium RP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22AE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10F4" w14:textId="3B36E408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523" w14:textId="7777777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10E8B" w:rsidRPr="004F1BE6" w14:paraId="6A49CA26" w14:textId="700EBC34" w:rsidTr="009D79C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74C" w14:textId="77777777" w:rsidR="00F10E8B" w:rsidRPr="004F1BE6" w:rsidRDefault="00F10E8B" w:rsidP="00F10E8B">
            <w:pPr>
              <w:pStyle w:val="Tekstpodstawowy21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3DF" w14:textId="77777777" w:rsidR="00F10E8B" w:rsidRPr="004F1BE6" w:rsidRDefault="00F10E8B" w:rsidP="00F10E8B">
            <w:pPr>
              <w:rPr>
                <w:rFonts w:ascii="Arial" w:hAnsi="Arial" w:cs="Arial"/>
                <w:sz w:val="20"/>
                <w:szCs w:val="20"/>
              </w:rPr>
            </w:pPr>
            <w:r w:rsidRPr="004F1BE6">
              <w:rPr>
                <w:rFonts w:ascii="Arial" w:hAnsi="Arial" w:cs="Arial"/>
                <w:b/>
                <w:color w:val="000000" w:themeColor="text1"/>
                <w:sz w:val="20"/>
              </w:rPr>
              <w:t>pokrycie kosztów naprawy na miejscu zdarzenia wskutek wypadku lub awarii</w:t>
            </w:r>
            <w:r w:rsidRPr="004F1BE6">
              <w:rPr>
                <w:rFonts w:ascii="Arial" w:hAnsi="Arial" w:cs="Arial"/>
                <w:color w:val="000000" w:themeColor="text1"/>
                <w:sz w:val="20"/>
              </w:rPr>
              <w:t xml:space="preserve"> - </w:t>
            </w:r>
            <w:proofErr w:type="spellStart"/>
            <w:r w:rsidRPr="004F1BE6">
              <w:rPr>
                <w:rFonts w:ascii="Arial" w:hAnsi="Arial" w:cs="Arial"/>
                <w:color w:val="000000" w:themeColor="text1"/>
                <w:sz w:val="20"/>
              </w:rPr>
              <w:t>podlimit</w:t>
            </w:r>
            <w:proofErr w:type="spellEnd"/>
            <w:r w:rsidRPr="004F1BE6">
              <w:rPr>
                <w:rFonts w:ascii="Arial" w:hAnsi="Arial" w:cs="Arial"/>
                <w:color w:val="000000" w:themeColor="text1"/>
                <w:sz w:val="20"/>
              </w:rPr>
              <w:t xml:space="preserve"> 1 000,00 PLN na jedno i wszystkie zdarzenia w rocznym okresie ubezpieczenia – dla zdarzeń na terytorium RP</w:t>
            </w:r>
            <w:r w:rsidRPr="004F1B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61D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BE8D" w14:textId="43D6D5F5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D17" w14:textId="7777777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10E8B" w:rsidRPr="004F1BE6" w14:paraId="30955402" w14:textId="00D2F792" w:rsidTr="009D79C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80F" w14:textId="77777777" w:rsidR="00F10E8B" w:rsidRPr="004F1BE6" w:rsidRDefault="00F10E8B" w:rsidP="00F10E8B">
            <w:pPr>
              <w:pStyle w:val="Tekstpodstawowy21"/>
              <w:tabs>
                <w:tab w:val="num" w:pos="360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32A3" w14:textId="77777777" w:rsidR="00F10E8B" w:rsidRPr="004F1BE6" w:rsidRDefault="00F10E8B" w:rsidP="00F10E8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1BE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wynajem pojazdu zastępczego</w:t>
            </w:r>
            <w:r w:rsidRPr="004F1BE6">
              <w:rPr>
                <w:rFonts w:ascii="Arial" w:hAnsi="Arial" w:cs="Arial"/>
                <w:color w:val="000000" w:themeColor="text1"/>
                <w:sz w:val="20"/>
              </w:rPr>
              <w:t xml:space="preserve"> (co najmniej tej samej klasy) - po odholowaniu pojazdu do warsztatu, bez względu na czas oczekiwania na naprawę pojazdu, lub po kradzieży ubezpieczonego pojazdu, wynajem pojazdu na 15 dni niezależnie od daty zdarzenia</w:t>
            </w:r>
            <w:r w:rsidRPr="004F1BE6">
              <w:rPr>
                <w:rFonts w:ascii="Arial" w:hAnsi="Arial" w:cs="Arial"/>
                <w:sz w:val="20"/>
                <w:szCs w:val="20"/>
              </w:rPr>
              <w:t xml:space="preserve">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733A" w14:textId="77777777" w:rsidR="00F10E8B" w:rsidRPr="004F1BE6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</w:t>
            </w:r>
            <w:r w:rsidRPr="004F1BE6">
              <w:rPr>
                <w:rFonts w:ascii="Arial" w:hAnsi="Arial" w:cs="Arial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82C1" w14:textId="23DAE3AF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F62EA"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62F" w14:textId="7777777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F10E8B" w:rsidRPr="004F1BE6" w14:paraId="2857962B" w14:textId="77777777" w:rsidTr="009D79C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CA586" w14:textId="77777777" w:rsidR="00F10E8B" w:rsidRDefault="00F10E8B" w:rsidP="00F10E8B">
            <w:pPr>
              <w:pStyle w:val="Tekstpodstawowy21"/>
              <w:tabs>
                <w:tab w:val="num" w:pos="360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36A740" w14:textId="77777777" w:rsidR="00F10E8B" w:rsidRPr="004F1BE6" w:rsidRDefault="00F10E8B" w:rsidP="00F10E8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BB041E" w14:textId="7777777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9968" w14:textId="1F5D7596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8EC" w14:textId="77777777" w:rsidR="00F10E8B" w:rsidRDefault="00F10E8B" w:rsidP="00F10E8B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6BC4A5B1" w14:textId="77777777" w:rsidR="00DD7173" w:rsidRDefault="00DD7173" w:rsidP="00DD7173">
      <w:pPr>
        <w:pStyle w:val="Nagwek4"/>
        <w:widowControl w:val="0"/>
        <w:suppressAutoHyphens/>
        <w:spacing w:line="360" w:lineRule="auto"/>
        <w:ind w:left="720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21576C0" w14:textId="77777777" w:rsidR="00DD7173" w:rsidRPr="00DD7173" w:rsidRDefault="00DD7173" w:rsidP="00DD7173">
      <w:pPr>
        <w:pStyle w:val="Nagwek4"/>
        <w:widowControl w:val="0"/>
        <w:numPr>
          <w:ilvl w:val="0"/>
          <w:numId w:val="5"/>
        </w:numPr>
        <w:tabs>
          <w:tab w:val="num" w:pos="360"/>
        </w:tabs>
        <w:suppressAutoHyphens/>
        <w:spacing w:line="360" w:lineRule="auto"/>
        <w:ind w:left="0" w:firstLine="0"/>
        <w:rPr>
          <w:rFonts w:ascii="Arial" w:hAnsi="Arial" w:cs="Arial"/>
          <w:b w:val="0"/>
          <w:bCs w:val="0"/>
          <w:i/>
          <w:iCs/>
          <w:color w:val="1F4E79" w:themeColor="accent5" w:themeShade="80"/>
          <w:u w:val="single"/>
        </w:rPr>
      </w:pPr>
      <w:r w:rsidRPr="00DD7173">
        <w:rPr>
          <w:rFonts w:ascii="Arial" w:hAnsi="Arial" w:cs="Arial"/>
          <w:color w:val="1F4E79" w:themeColor="accent5" w:themeShade="80"/>
          <w:u w:val="single"/>
        </w:rPr>
        <w:t>Ubezpieczenie NNW kierowcy i pasażerów  – NIE DOTYCZY</w:t>
      </w:r>
    </w:p>
    <w:p w14:paraId="3C79A2E7" w14:textId="77777777" w:rsidR="00DD7173" w:rsidRDefault="00DD7173" w:rsidP="00DD7173">
      <w:pPr>
        <w:pStyle w:val="Nagwek4"/>
        <w:widowControl w:val="0"/>
        <w:suppressAutoHyphens/>
        <w:spacing w:line="360" w:lineRule="auto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16B5B33" w14:textId="77777777" w:rsidR="00DD7173" w:rsidRPr="00C21D00" w:rsidRDefault="00DD7173" w:rsidP="00DD7173">
      <w:pPr>
        <w:pStyle w:val="Nagwek4"/>
        <w:widowControl w:val="0"/>
        <w:suppressAutoHyphens/>
        <w:spacing w:line="360" w:lineRule="auto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Maksymalna ilość punktów za ryzyka dodatkowe podlegające ocenie w CZEŚCI  II – 100 pkt  </w:t>
      </w:r>
    </w:p>
    <w:p w14:paraId="7FE6294E" w14:textId="77777777" w:rsidR="00A57CF1" w:rsidRPr="003F62EA" w:rsidRDefault="00A57CF1" w:rsidP="00A57CF1">
      <w:pPr>
        <w:pStyle w:val="Tekstpodstawowy22"/>
        <w:spacing w:before="120" w:after="120"/>
        <w:jc w:val="left"/>
        <w:rPr>
          <w:rFonts w:ascii="Arial" w:hAnsi="Arial" w:cs="Arial"/>
          <w:bCs/>
          <w:i/>
          <w:sz w:val="16"/>
          <w:szCs w:val="16"/>
        </w:rPr>
      </w:pPr>
      <w:r w:rsidRPr="003F62EA">
        <w:rPr>
          <w:rFonts w:ascii="Arial" w:hAnsi="Arial" w:cs="Arial"/>
          <w:i/>
          <w:sz w:val="16"/>
          <w:szCs w:val="16"/>
        </w:rPr>
        <w:t xml:space="preserve">(*) – niepotrzebne skreślić - TAK – </w:t>
      </w:r>
      <w:r w:rsidRPr="003F62EA">
        <w:rPr>
          <w:rFonts w:ascii="Arial" w:hAnsi="Arial" w:cs="Arial"/>
          <w:bCs/>
          <w:i/>
          <w:sz w:val="16"/>
          <w:szCs w:val="16"/>
        </w:rPr>
        <w:t xml:space="preserve">przyjęcie ryzyka, </w:t>
      </w:r>
      <w:r w:rsidRPr="003F62EA">
        <w:rPr>
          <w:rFonts w:ascii="Arial" w:hAnsi="Arial" w:cs="Arial"/>
          <w:i/>
          <w:sz w:val="16"/>
          <w:szCs w:val="16"/>
        </w:rPr>
        <w:t xml:space="preserve">NIE – </w:t>
      </w:r>
      <w:r w:rsidRPr="003F62EA">
        <w:rPr>
          <w:rFonts w:ascii="Arial" w:hAnsi="Arial" w:cs="Arial"/>
          <w:bCs/>
          <w:i/>
          <w:sz w:val="16"/>
          <w:szCs w:val="16"/>
        </w:rPr>
        <w:t>brak przyjęcia ryzyka.</w:t>
      </w:r>
    </w:p>
    <w:p w14:paraId="3BCB8DE5" w14:textId="77777777" w:rsidR="00A57CF1" w:rsidRPr="003F62EA" w:rsidRDefault="00A57CF1" w:rsidP="00A57CF1">
      <w:pPr>
        <w:pStyle w:val="Tekstpodstawowy22"/>
        <w:spacing w:before="120" w:after="120"/>
        <w:jc w:val="left"/>
        <w:rPr>
          <w:rFonts w:ascii="Arial" w:hAnsi="Arial" w:cs="Arial"/>
          <w:bCs/>
          <w:i/>
          <w:sz w:val="16"/>
          <w:szCs w:val="16"/>
        </w:rPr>
      </w:pPr>
    </w:p>
    <w:p w14:paraId="0B0F6E13" w14:textId="77777777" w:rsidR="00A57CF1" w:rsidRPr="003F62EA" w:rsidRDefault="00A57CF1" w:rsidP="00A57CF1">
      <w:pPr>
        <w:pStyle w:val="Tekstpodstawowy22"/>
        <w:spacing w:before="120" w:after="120"/>
        <w:jc w:val="left"/>
        <w:rPr>
          <w:rFonts w:ascii="Arial" w:hAnsi="Arial" w:cs="Arial"/>
          <w:bCs/>
          <w:i/>
          <w:sz w:val="16"/>
          <w:szCs w:val="16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A57CF1" w:rsidRPr="003F62EA" w14:paraId="1654ECAD" w14:textId="77777777" w:rsidTr="00D64986">
        <w:tc>
          <w:tcPr>
            <w:tcW w:w="4390" w:type="dxa"/>
            <w:tcBorders>
              <w:bottom w:val="single" w:sz="4" w:space="0" w:color="auto"/>
            </w:tcBorders>
          </w:tcPr>
          <w:p w14:paraId="69FE873F" w14:textId="77777777" w:rsidR="00A57CF1" w:rsidRPr="003F62EA" w:rsidRDefault="00A57CF1" w:rsidP="00D64986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64976C81" w14:textId="77777777" w:rsidR="00A57CF1" w:rsidRPr="003F62EA" w:rsidRDefault="00A57CF1" w:rsidP="00D64986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202A6AEE" w14:textId="77777777" w:rsidR="00A57CF1" w:rsidRPr="003F62EA" w:rsidRDefault="00A57CF1" w:rsidP="00D64986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A57CF1" w:rsidRPr="003F62EA" w14:paraId="176BF44A" w14:textId="77777777" w:rsidTr="00D64986">
        <w:tc>
          <w:tcPr>
            <w:tcW w:w="4390" w:type="dxa"/>
            <w:tcBorders>
              <w:top w:val="single" w:sz="4" w:space="0" w:color="auto"/>
            </w:tcBorders>
          </w:tcPr>
          <w:p w14:paraId="530875E0" w14:textId="77777777" w:rsidR="00A57CF1" w:rsidRPr="003F62EA" w:rsidRDefault="00A57CF1" w:rsidP="00D6498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62EA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069EE1BA" w14:textId="77777777" w:rsidR="00A57CF1" w:rsidRPr="003F62EA" w:rsidRDefault="00A57CF1" w:rsidP="00D6498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18465DC3" w14:textId="77777777" w:rsidR="00A57CF1" w:rsidRPr="003F62EA" w:rsidRDefault="00A57CF1" w:rsidP="00D6498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5E87B65D" w14:textId="77777777" w:rsidR="00A57CF1" w:rsidRPr="003F62EA" w:rsidRDefault="00A57CF1" w:rsidP="00D6498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206A7106" w14:textId="77777777" w:rsidR="00F35BEF" w:rsidRDefault="00000000" w:rsidP="00D86F8B"/>
    <w:sectPr w:rsidR="00F35BEF" w:rsidSect="0003563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39E6" w14:textId="77777777" w:rsidR="00D94A81" w:rsidRDefault="00D94A81" w:rsidP="001A16C1">
      <w:r>
        <w:separator/>
      </w:r>
    </w:p>
  </w:endnote>
  <w:endnote w:type="continuationSeparator" w:id="0">
    <w:p w14:paraId="2DEB2DCD" w14:textId="77777777" w:rsidR="00D94A81" w:rsidRDefault="00D94A81" w:rsidP="001A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1C77" w14:textId="77777777" w:rsidR="00F14212" w:rsidRPr="00F14212" w:rsidRDefault="00F14212" w:rsidP="00F1421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1F4E79" w:themeColor="accent5" w:themeShade="80"/>
        <w:sz w:val="20"/>
        <w:szCs w:val="20"/>
      </w:rPr>
    </w:pPr>
    <w:r w:rsidRPr="00F14212">
      <w:rPr>
        <w:rFonts w:ascii="Arial" w:hAnsi="Arial" w:cs="Arial"/>
        <w:color w:val="1F4E79" w:themeColor="accent5" w:themeShade="80"/>
        <w:spacing w:val="60"/>
        <w:sz w:val="20"/>
        <w:szCs w:val="20"/>
      </w:rPr>
      <w:t>Strona</w:t>
    </w:r>
    <w:r w:rsidRPr="00F14212">
      <w:rPr>
        <w:rFonts w:ascii="Arial" w:hAnsi="Arial" w:cs="Arial"/>
        <w:color w:val="1F4E79" w:themeColor="accent5" w:themeShade="80"/>
        <w:sz w:val="20"/>
        <w:szCs w:val="20"/>
      </w:rPr>
      <w:t xml:space="preserve"> </w: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begin"/>
    </w:r>
    <w:r w:rsidRPr="00F14212">
      <w:rPr>
        <w:rFonts w:ascii="Arial" w:hAnsi="Arial" w:cs="Arial"/>
        <w:color w:val="1F4E79" w:themeColor="accent5" w:themeShade="80"/>
        <w:sz w:val="20"/>
        <w:szCs w:val="20"/>
      </w:rPr>
      <w:instrText>PAGE   \* MERGEFORMAT</w:instrTex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separate"/>
    </w:r>
    <w:r>
      <w:rPr>
        <w:rFonts w:ascii="Arial" w:hAnsi="Arial" w:cs="Arial"/>
        <w:color w:val="1F4E79" w:themeColor="accent5" w:themeShade="80"/>
        <w:sz w:val="20"/>
        <w:szCs w:val="20"/>
      </w:rPr>
      <w:t>1</w: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end"/>
    </w:r>
    <w:r w:rsidRPr="00F14212">
      <w:rPr>
        <w:rFonts w:ascii="Arial" w:hAnsi="Arial" w:cs="Arial"/>
        <w:color w:val="1F4E79" w:themeColor="accent5" w:themeShade="80"/>
        <w:sz w:val="20"/>
        <w:szCs w:val="20"/>
      </w:rPr>
      <w:t xml:space="preserve"> | </w: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begin"/>
    </w:r>
    <w:r w:rsidRPr="00F14212">
      <w:rPr>
        <w:rFonts w:ascii="Arial" w:hAnsi="Arial" w:cs="Arial"/>
        <w:color w:val="1F4E79" w:themeColor="accent5" w:themeShade="80"/>
        <w:sz w:val="20"/>
        <w:szCs w:val="20"/>
      </w:rPr>
      <w:instrText>NUMPAGES  \* Arabic  \* MERGEFORMAT</w:instrTex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separate"/>
    </w:r>
    <w:r>
      <w:rPr>
        <w:rFonts w:ascii="Arial" w:hAnsi="Arial" w:cs="Arial"/>
        <w:color w:val="1F4E79" w:themeColor="accent5" w:themeShade="80"/>
        <w:sz w:val="20"/>
        <w:szCs w:val="20"/>
      </w:rPr>
      <w:t>4</w: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end"/>
    </w:r>
  </w:p>
  <w:p w14:paraId="28336AFD" w14:textId="77777777" w:rsidR="00F14212" w:rsidRDefault="00F142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3B17" w14:textId="77777777" w:rsidR="00F14212" w:rsidRPr="00F14212" w:rsidRDefault="00F1421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1F4E79" w:themeColor="accent5" w:themeShade="80"/>
        <w:sz w:val="20"/>
        <w:szCs w:val="20"/>
      </w:rPr>
    </w:pPr>
    <w:r w:rsidRPr="00F14212">
      <w:rPr>
        <w:rFonts w:ascii="Arial" w:hAnsi="Arial" w:cs="Arial"/>
        <w:color w:val="1F4E79" w:themeColor="accent5" w:themeShade="80"/>
        <w:spacing w:val="60"/>
        <w:sz w:val="20"/>
        <w:szCs w:val="20"/>
      </w:rPr>
      <w:t>Strona</w:t>
    </w:r>
    <w:r w:rsidRPr="00F14212">
      <w:rPr>
        <w:rFonts w:ascii="Arial" w:hAnsi="Arial" w:cs="Arial"/>
        <w:color w:val="1F4E79" w:themeColor="accent5" w:themeShade="80"/>
        <w:sz w:val="20"/>
        <w:szCs w:val="20"/>
      </w:rPr>
      <w:t xml:space="preserve"> </w: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begin"/>
    </w:r>
    <w:r w:rsidRPr="00F14212">
      <w:rPr>
        <w:rFonts w:ascii="Arial" w:hAnsi="Arial" w:cs="Arial"/>
        <w:color w:val="1F4E79" w:themeColor="accent5" w:themeShade="80"/>
        <w:sz w:val="20"/>
        <w:szCs w:val="20"/>
      </w:rPr>
      <w:instrText>PAGE   \* MERGEFORMAT</w:instrTex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separate"/>
    </w:r>
    <w:r w:rsidRPr="00F14212">
      <w:rPr>
        <w:rFonts w:ascii="Arial" w:hAnsi="Arial" w:cs="Arial"/>
        <w:color w:val="1F4E79" w:themeColor="accent5" w:themeShade="80"/>
        <w:sz w:val="20"/>
        <w:szCs w:val="20"/>
      </w:rPr>
      <w:t>1</w: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end"/>
    </w:r>
    <w:r w:rsidRPr="00F14212">
      <w:rPr>
        <w:rFonts w:ascii="Arial" w:hAnsi="Arial" w:cs="Arial"/>
        <w:color w:val="1F4E79" w:themeColor="accent5" w:themeShade="80"/>
        <w:sz w:val="20"/>
        <w:szCs w:val="20"/>
      </w:rPr>
      <w:t xml:space="preserve"> | </w: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begin"/>
    </w:r>
    <w:r w:rsidRPr="00F14212">
      <w:rPr>
        <w:rFonts w:ascii="Arial" w:hAnsi="Arial" w:cs="Arial"/>
        <w:color w:val="1F4E79" w:themeColor="accent5" w:themeShade="80"/>
        <w:sz w:val="20"/>
        <w:szCs w:val="20"/>
      </w:rPr>
      <w:instrText>NUMPAGES  \* Arabic  \* MERGEFORMAT</w:instrTex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separate"/>
    </w:r>
    <w:r w:rsidRPr="00F14212">
      <w:rPr>
        <w:rFonts w:ascii="Arial" w:hAnsi="Arial" w:cs="Arial"/>
        <w:color w:val="1F4E79" w:themeColor="accent5" w:themeShade="80"/>
        <w:sz w:val="20"/>
        <w:szCs w:val="20"/>
      </w:rPr>
      <w:t>1</w:t>
    </w:r>
    <w:r w:rsidRPr="00F14212">
      <w:rPr>
        <w:rFonts w:ascii="Arial" w:hAnsi="Arial" w:cs="Arial"/>
        <w:color w:val="1F4E79" w:themeColor="accent5" w:themeShade="80"/>
        <w:sz w:val="20"/>
        <w:szCs w:val="20"/>
      </w:rPr>
      <w:fldChar w:fldCharType="end"/>
    </w:r>
  </w:p>
  <w:p w14:paraId="65F23DD2" w14:textId="77777777" w:rsidR="009678D9" w:rsidRDefault="00967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7160" w14:textId="77777777" w:rsidR="00D94A81" w:rsidRDefault="00D94A81" w:rsidP="001A16C1">
      <w:r>
        <w:separator/>
      </w:r>
    </w:p>
  </w:footnote>
  <w:footnote w:type="continuationSeparator" w:id="0">
    <w:p w14:paraId="0B0BD2DD" w14:textId="77777777" w:rsidR="00D94A81" w:rsidRDefault="00D94A81" w:rsidP="001A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D76C" w14:textId="77777777" w:rsidR="00C0258B" w:rsidRDefault="00C0258B" w:rsidP="00C0258B">
    <w:pPr>
      <w:pStyle w:val="Nagwek"/>
      <w:numPr>
        <w:ilvl w:val="0"/>
        <w:numId w:val="0"/>
      </w:numPr>
      <w:tabs>
        <w:tab w:val="clear" w:pos="4536"/>
        <w:tab w:val="center" w:pos="142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rPr>
        <w:rFonts w:ascii="Arial" w:hAnsi="Arial" w:cs="Arial"/>
        <w:i/>
        <w:iCs/>
        <w:sz w:val="16"/>
        <w:szCs w:val="16"/>
        <w:lang w:val="pl-PL"/>
      </w:rPr>
      <w:t>Załącznik nr 3  do SWZ</w:t>
    </w:r>
    <w:r w:rsidRPr="00444122">
      <w:rPr>
        <w:rFonts w:ascii="Arial" w:hAnsi="Arial" w:cs="Arial"/>
        <w:i/>
        <w:iCs/>
        <w:sz w:val="16"/>
        <w:szCs w:val="16"/>
        <w:lang w:val="pl-PL"/>
      </w:rPr>
      <w:t xml:space="preserve"> </w:t>
    </w:r>
    <w:r w:rsidRPr="00444122">
      <w:rPr>
        <w:rFonts w:ascii="Arial" w:hAnsi="Arial" w:cs="Arial"/>
        <w:i/>
        <w:iCs/>
        <w:sz w:val="16"/>
        <w:szCs w:val="16"/>
        <w:lang w:val="pl-PL"/>
      </w:rPr>
      <w:tab/>
      <w:t>Powiat Ostrowski 2022</w:t>
    </w:r>
  </w:p>
  <w:p w14:paraId="4DCBF5AF" w14:textId="49A7C359" w:rsidR="001A16C1" w:rsidRDefault="00000000" w:rsidP="00C0258B">
    <w:pPr>
      <w:pStyle w:val="Nagwek"/>
      <w:numPr>
        <w:ilvl w:val="0"/>
        <w:numId w:val="0"/>
      </w:numPr>
      <w:tabs>
        <w:tab w:val="clear" w:pos="4536"/>
        <w:tab w:val="center" w:pos="720"/>
        <w:tab w:val="center" w:pos="9072"/>
      </w:tabs>
      <w:ind w:left="851" w:hanging="851"/>
    </w:pPr>
    <w:r>
      <w:pict w14:anchorId="311D9188">
        <v:rect id="_x0000_i1025" style="width:405.8pt;height:1pt" o:hrpct="988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A374" w14:textId="7BF93B2B" w:rsidR="009678D9" w:rsidRDefault="009678D9" w:rsidP="009678D9">
    <w:pPr>
      <w:pStyle w:val="Nagwek"/>
      <w:numPr>
        <w:ilvl w:val="0"/>
        <w:numId w:val="0"/>
      </w:numPr>
      <w:tabs>
        <w:tab w:val="clear" w:pos="4536"/>
        <w:tab w:val="center" w:pos="142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rPr>
        <w:rFonts w:ascii="Arial" w:hAnsi="Arial" w:cs="Arial"/>
        <w:i/>
        <w:iCs/>
        <w:sz w:val="16"/>
        <w:szCs w:val="16"/>
        <w:lang w:val="pl-PL"/>
      </w:rPr>
      <w:t>Załącznik nr 3  do SWZ</w:t>
    </w:r>
    <w:r w:rsidRPr="00444122">
      <w:rPr>
        <w:rFonts w:ascii="Arial" w:hAnsi="Arial" w:cs="Arial"/>
        <w:i/>
        <w:iCs/>
        <w:sz w:val="16"/>
        <w:szCs w:val="16"/>
        <w:lang w:val="pl-PL"/>
      </w:rPr>
      <w:t xml:space="preserve"> </w:t>
    </w:r>
    <w:r w:rsidRPr="00444122">
      <w:rPr>
        <w:rFonts w:ascii="Arial" w:hAnsi="Arial" w:cs="Arial"/>
        <w:i/>
        <w:iCs/>
        <w:sz w:val="16"/>
        <w:szCs w:val="16"/>
        <w:lang w:val="pl-PL"/>
      </w:rPr>
      <w:tab/>
      <w:t>Powiat Ostrowski 2022</w:t>
    </w:r>
  </w:p>
  <w:p w14:paraId="386180F9" w14:textId="0EAA90E1" w:rsidR="00035630" w:rsidRPr="004E12F5" w:rsidRDefault="00000000" w:rsidP="009678D9">
    <w:pPr>
      <w:pStyle w:val="Nagwek"/>
      <w:numPr>
        <w:ilvl w:val="0"/>
        <w:numId w:val="0"/>
      </w:numPr>
      <w:ind w:left="1191" w:hanging="1191"/>
    </w:pPr>
    <w:r>
      <w:pict w14:anchorId="193A967B">
        <v:rect id="_x0000_i1026" style="width:422.6pt;height:1pt" o:hrpct="988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C33"/>
    <w:multiLevelType w:val="hybridMultilevel"/>
    <w:tmpl w:val="AA540750"/>
    <w:lvl w:ilvl="0" w:tplc="F566C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417C"/>
    <w:multiLevelType w:val="hybridMultilevel"/>
    <w:tmpl w:val="F3720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647"/>
    <w:multiLevelType w:val="hybridMultilevel"/>
    <w:tmpl w:val="C698507A"/>
    <w:lvl w:ilvl="0" w:tplc="F99C8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DE013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E4C99"/>
    <w:multiLevelType w:val="hybridMultilevel"/>
    <w:tmpl w:val="8D161AA0"/>
    <w:lvl w:ilvl="0" w:tplc="BDE0D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00C61"/>
    <w:multiLevelType w:val="hybridMultilevel"/>
    <w:tmpl w:val="78D4CE7A"/>
    <w:lvl w:ilvl="0" w:tplc="3184FB7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FBCEA628">
      <w:start w:val="1"/>
      <w:numFmt w:val="decimal"/>
      <w:pStyle w:val="Nagwek"/>
      <w:lvlText w:val="%2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7A908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267CC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A178FC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861603">
    <w:abstractNumId w:val="4"/>
  </w:num>
  <w:num w:numId="2" w16cid:durableId="249119978">
    <w:abstractNumId w:val="1"/>
  </w:num>
  <w:num w:numId="3" w16cid:durableId="1553887472">
    <w:abstractNumId w:val="2"/>
  </w:num>
  <w:num w:numId="4" w16cid:durableId="2126608579">
    <w:abstractNumId w:val="3"/>
  </w:num>
  <w:num w:numId="5" w16cid:durableId="143933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F1"/>
    <w:rsid w:val="000226AC"/>
    <w:rsid w:val="00035630"/>
    <w:rsid w:val="00064173"/>
    <w:rsid w:val="000833D8"/>
    <w:rsid w:val="001A16C1"/>
    <w:rsid w:val="00293701"/>
    <w:rsid w:val="002B5183"/>
    <w:rsid w:val="0031516D"/>
    <w:rsid w:val="003C4D9D"/>
    <w:rsid w:val="0045150A"/>
    <w:rsid w:val="004C79E1"/>
    <w:rsid w:val="004E12F5"/>
    <w:rsid w:val="004E20DB"/>
    <w:rsid w:val="00661A4B"/>
    <w:rsid w:val="006D1C8B"/>
    <w:rsid w:val="00745CAF"/>
    <w:rsid w:val="00957175"/>
    <w:rsid w:val="009678D9"/>
    <w:rsid w:val="0099779B"/>
    <w:rsid w:val="00A57CF1"/>
    <w:rsid w:val="00C0258B"/>
    <w:rsid w:val="00D86F8B"/>
    <w:rsid w:val="00D94A81"/>
    <w:rsid w:val="00DD7173"/>
    <w:rsid w:val="00F10E8B"/>
    <w:rsid w:val="00F14212"/>
    <w:rsid w:val="00F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98E0"/>
  <w14:defaultImageDpi w14:val="32767"/>
  <w15:chartTrackingRefBased/>
  <w15:docId w15:val="{E51D717B-1641-394A-8B75-F532D14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A57CF1"/>
    <w:rPr>
      <w:rFonts w:ascii="Times New Roman" w:eastAsia="Times New Roman" w:hAnsi="Times New Roman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7CF1"/>
    <w:pPr>
      <w:keepNext/>
      <w:jc w:val="both"/>
      <w:outlineLvl w:val="3"/>
    </w:pPr>
    <w:rPr>
      <w:rFonts w:ascii="Comic Sans MS" w:hAnsi="Comic Sans MS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57CF1"/>
    <w:rPr>
      <w:rFonts w:ascii="Comic Sans MS" w:eastAsia="Times New Roman" w:hAnsi="Comic Sans MS" w:cs="Times New Roman"/>
      <w:b/>
      <w:bCs/>
      <w:lang w:val="x-none" w:eastAsia="x-none"/>
    </w:rPr>
  </w:style>
  <w:style w:type="paragraph" w:styleId="Tekstpodstawowy">
    <w:name w:val="Body Text"/>
    <w:aliases w:val=" Znak,Znak"/>
    <w:basedOn w:val="Normalny"/>
    <w:link w:val="TekstpodstawowyZnak"/>
    <w:rsid w:val="00A57CF1"/>
    <w:pPr>
      <w:jc w:val="both"/>
    </w:pPr>
    <w:rPr>
      <w:b/>
      <w:bCs/>
      <w:lang w:val="x-none" w:eastAsia="x-none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A57CF1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rsid w:val="00A57C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57CF1"/>
    <w:rPr>
      <w:rFonts w:ascii="Times New Roman" w:eastAsia="Times New Roman" w:hAnsi="Times New Roman" w:cs="Times New Roman"/>
      <w:lang w:val="x-none" w:eastAsia="x-none"/>
    </w:rPr>
  </w:style>
  <w:style w:type="paragraph" w:styleId="Nagwek">
    <w:name w:val="header"/>
    <w:aliases w:val="Nagłówek strony"/>
    <w:basedOn w:val="Normalny"/>
    <w:link w:val="NagwekZnak"/>
    <w:rsid w:val="00A57CF1"/>
    <w:pPr>
      <w:numPr>
        <w:ilvl w:val="1"/>
        <w:numId w:val="1"/>
      </w:num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57CF1"/>
    <w:rPr>
      <w:rFonts w:ascii="Times New Roman" w:eastAsia="Times New Roman" w:hAnsi="Times New Roman" w:cs="Times New Roman"/>
      <w:lang w:val="x-none" w:eastAsia="x-none"/>
    </w:rPr>
  </w:style>
  <w:style w:type="paragraph" w:customStyle="1" w:styleId="Tekstpodstawowy21">
    <w:name w:val="Tekst podstawowy 21"/>
    <w:basedOn w:val="Normalny"/>
    <w:rsid w:val="00A57CF1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Tekstpodstawowy22">
    <w:name w:val="Tekst podstawowy 22"/>
    <w:basedOn w:val="Normalny"/>
    <w:rsid w:val="00A57CF1"/>
    <w:pPr>
      <w:jc w:val="both"/>
    </w:pPr>
    <w:rPr>
      <w:szCs w:val="20"/>
    </w:rPr>
  </w:style>
  <w:style w:type="paragraph" w:customStyle="1" w:styleId="Tekstpodstawowy23">
    <w:name w:val="Tekst podstawowy 23"/>
    <w:basedOn w:val="Normalny"/>
    <w:rsid w:val="00A57CF1"/>
    <w:pPr>
      <w:jc w:val="both"/>
    </w:pPr>
    <w:rPr>
      <w:szCs w:val="20"/>
    </w:rPr>
  </w:style>
  <w:style w:type="paragraph" w:customStyle="1" w:styleId="Tekstpodstawowy212">
    <w:name w:val="Tekst podstawowy 212"/>
    <w:basedOn w:val="Normalny"/>
    <w:rsid w:val="00A57CF1"/>
    <w:pPr>
      <w:suppressAutoHyphens/>
      <w:jc w:val="both"/>
    </w:pPr>
    <w:rPr>
      <w:rFonts w:ascii="Comic Sans MS" w:hAnsi="Comic Sans MS"/>
      <w:lang w:eastAsia="ar-SA"/>
    </w:rPr>
  </w:style>
  <w:style w:type="paragraph" w:styleId="Akapitzlist">
    <w:name w:val="List Paragraph"/>
    <w:aliases w:val="normalny tekst,L1,Numerowanie,Akapit z listą5,CW_Lista"/>
    <w:basedOn w:val="Normalny"/>
    <w:link w:val="AkapitzlistZnak"/>
    <w:uiPriority w:val="34"/>
    <w:qFormat/>
    <w:rsid w:val="00F8746A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ormalny tekst Znak,L1 Znak,Numerowanie Znak,Akapit z listą5 Znak,CW_Lista Znak"/>
    <w:link w:val="Akapitzlist"/>
    <w:uiPriority w:val="34"/>
    <w:qFormat/>
    <w:locked/>
    <w:rsid w:val="00F8746A"/>
    <w:rPr>
      <w:rFonts w:ascii="Times New Roman" w:eastAsia="Times New Roman" w:hAnsi="Times New Roman" w:cs="Times New Roman"/>
      <w:lang w:val="x-none" w:eastAsia="x-none"/>
    </w:rPr>
  </w:style>
  <w:style w:type="table" w:customStyle="1" w:styleId="TableNormal1">
    <w:name w:val="Table Normal1"/>
    <w:uiPriority w:val="2"/>
    <w:semiHidden/>
    <w:unhideWhenUsed/>
    <w:qFormat/>
    <w:rsid w:val="00F8746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B9E3-7F19-469B-A6FA-8014971B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839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Starostwo Powiatowe</cp:lastModifiedBy>
  <cp:revision>21</cp:revision>
  <dcterms:created xsi:type="dcterms:W3CDTF">2021-02-16T13:07:00Z</dcterms:created>
  <dcterms:modified xsi:type="dcterms:W3CDTF">2022-10-11T08:40:00Z</dcterms:modified>
</cp:coreProperties>
</file>