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OŚWIADCZENIE *</w:t>
      </w:r>
    </w:p>
    <w:p w14:paraId="3774B5EB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72B4D7C6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46C" w:rsidRPr="001472F0">
        <w:rPr>
          <w:rFonts w:ascii="Times New Roman" w:hAnsi="Times New Roman" w:cs="Times New Roman"/>
          <w:b/>
          <w:sz w:val="24"/>
          <w:szCs w:val="24"/>
        </w:rPr>
        <w:t>papieru do drukowania oraz kartonów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7400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E7446C">
        <w:rPr>
          <w:rFonts w:ascii="Times New Roman" w:hAnsi="Times New Roman" w:cs="Times New Roman"/>
          <w:b/>
          <w:bCs/>
          <w:sz w:val="24"/>
          <w:szCs w:val="24"/>
        </w:rPr>
        <w:t>155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57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7446C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>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</w:t>
      </w:r>
      <w:r w:rsidR="00D6497F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527D96" w14:textId="77777777" w:rsidR="00E7446C" w:rsidRDefault="00E7446C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99C162" w14:textId="77777777" w:rsidR="00E7446C" w:rsidRDefault="00E7446C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4CA86DA" w14:textId="77777777" w:rsidR="00E7446C" w:rsidRDefault="00E7446C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80A2D" w14:textId="77777777" w:rsidR="00F2397E" w:rsidRDefault="00F2397E" w:rsidP="0038231F">
      <w:pPr>
        <w:spacing w:after="0" w:line="240" w:lineRule="auto"/>
      </w:pPr>
      <w:r>
        <w:separator/>
      </w:r>
    </w:p>
  </w:endnote>
  <w:endnote w:type="continuationSeparator" w:id="0">
    <w:p w14:paraId="7CD5C20E" w14:textId="77777777" w:rsidR="00F2397E" w:rsidRDefault="00F239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34" w:type="dxa"/>
      <w:tblLook w:val="04A0" w:firstRow="1" w:lastRow="0" w:firstColumn="1" w:lastColumn="0" w:noHBand="0" w:noVBand="1"/>
    </w:tblPr>
    <w:tblGrid>
      <w:gridCol w:w="9320"/>
    </w:tblGrid>
    <w:tr w:rsidR="00E7446C" w14:paraId="0D624953" w14:textId="77777777" w:rsidTr="00D145BF">
      <w:tc>
        <w:tcPr>
          <w:tcW w:w="9320" w:type="dxa"/>
          <w:shd w:val="clear" w:color="auto" w:fill="CC3300"/>
        </w:tcPr>
        <w:p w14:paraId="08ED299E" w14:textId="77777777" w:rsidR="00E7446C" w:rsidRPr="00E7446C" w:rsidRDefault="00E7446C" w:rsidP="00E7446C">
          <w:pPr>
            <w:pStyle w:val="Stopka"/>
            <w:ind w:right="360"/>
            <w:jc w:val="center"/>
            <w:rPr>
              <w:rFonts w:ascii="Times New Roman" w:hAnsi="Times New Roman" w:cs="Times New Roman"/>
              <w:b/>
              <w:i/>
              <w:color w:val="808080" w:themeColor="background1" w:themeShade="80"/>
              <w:sz w:val="2"/>
              <w:szCs w:val="2"/>
            </w:rPr>
          </w:pPr>
        </w:p>
      </w:tc>
    </w:tr>
  </w:tbl>
  <w:p w14:paraId="31318E16" w14:textId="48A33582" w:rsidR="001C6945" w:rsidRPr="00E7446C" w:rsidRDefault="00E7446C" w:rsidP="00E7446C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155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</w:t>
    </w:r>
    <w:sdt>
      <w:sdtP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id w:val="-103589074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b/>
              <w:i/>
              <w:color w:val="808080" w:themeColor="background1" w:themeShade="80"/>
              <w:sz w:val="24"/>
              <w:szCs w:val="24"/>
            </w:rPr>
            <w:id w:val="-863909447"/>
            <w:docPartObj>
              <w:docPartGallery w:val="Page Numbers (Top of Page)"/>
              <w:docPartUnique/>
            </w:docPartObj>
          </w:sdtPr>
          <w:sdtContent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34" w:type="dxa"/>
      <w:tblLook w:val="04A0" w:firstRow="1" w:lastRow="0" w:firstColumn="1" w:lastColumn="0" w:noHBand="0" w:noVBand="1"/>
    </w:tblPr>
    <w:tblGrid>
      <w:gridCol w:w="9320"/>
    </w:tblGrid>
    <w:tr w:rsidR="00E7446C" w14:paraId="4650217A" w14:textId="77777777" w:rsidTr="00E7446C">
      <w:tc>
        <w:tcPr>
          <w:tcW w:w="9320" w:type="dxa"/>
          <w:shd w:val="clear" w:color="auto" w:fill="CC3300"/>
        </w:tcPr>
        <w:p w14:paraId="2997F99F" w14:textId="77777777" w:rsidR="00E7446C" w:rsidRPr="00E7446C" w:rsidRDefault="00E7446C" w:rsidP="00E7446C">
          <w:pPr>
            <w:pStyle w:val="Stopka"/>
            <w:ind w:right="360"/>
            <w:jc w:val="center"/>
            <w:rPr>
              <w:rFonts w:ascii="Times New Roman" w:hAnsi="Times New Roman" w:cs="Times New Roman"/>
              <w:b/>
              <w:i/>
              <w:color w:val="808080" w:themeColor="background1" w:themeShade="80"/>
              <w:sz w:val="2"/>
              <w:szCs w:val="2"/>
            </w:rPr>
          </w:pPr>
        </w:p>
      </w:tc>
    </w:tr>
  </w:tbl>
  <w:p w14:paraId="7CA3B072" w14:textId="4A7F91FE" w:rsidR="00111ABB" w:rsidRPr="002D7400" w:rsidRDefault="002D7400" w:rsidP="00E7446C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D6497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E7446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</w:t>
    </w:r>
    <w:sdt>
      <w:sdtP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id w:val="177567135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b/>
              <w:i/>
              <w:color w:val="808080" w:themeColor="background1" w:themeShade="80"/>
              <w:sz w:val="24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D456" w14:textId="77777777" w:rsidR="00F2397E" w:rsidRDefault="00F2397E" w:rsidP="0038231F">
      <w:pPr>
        <w:spacing w:after="0" w:line="240" w:lineRule="auto"/>
      </w:pPr>
      <w:r>
        <w:separator/>
      </w:r>
    </w:p>
  </w:footnote>
  <w:footnote w:type="continuationSeparator" w:id="0">
    <w:p w14:paraId="04A0122E" w14:textId="77777777" w:rsidR="00F2397E" w:rsidRDefault="00F239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9318">
    <w:abstractNumId w:val="6"/>
  </w:num>
  <w:num w:numId="2" w16cid:durableId="472866951">
    <w:abstractNumId w:val="0"/>
  </w:num>
  <w:num w:numId="3" w16cid:durableId="219707869">
    <w:abstractNumId w:val="5"/>
  </w:num>
  <w:num w:numId="4" w16cid:durableId="1626690475">
    <w:abstractNumId w:val="8"/>
  </w:num>
  <w:num w:numId="5" w16cid:durableId="2068186514">
    <w:abstractNumId w:val="7"/>
  </w:num>
  <w:num w:numId="6" w16cid:durableId="647975196">
    <w:abstractNumId w:val="4"/>
  </w:num>
  <w:num w:numId="7" w16cid:durableId="1563443485">
    <w:abstractNumId w:val="1"/>
  </w:num>
  <w:num w:numId="8" w16cid:durableId="462503782">
    <w:abstractNumId w:val="3"/>
  </w:num>
  <w:num w:numId="9" w16cid:durableId="31079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11EA9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74137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53B76"/>
    <w:rsid w:val="006611E3"/>
    <w:rsid w:val="00683B02"/>
    <w:rsid w:val="00684C6A"/>
    <w:rsid w:val="006A3A1F"/>
    <w:rsid w:val="006A52B6"/>
    <w:rsid w:val="006D4554"/>
    <w:rsid w:val="006E04C3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B549F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2B81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497F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446C"/>
    <w:rsid w:val="00E75EF0"/>
    <w:rsid w:val="00EA59E5"/>
    <w:rsid w:val="00EB7CDE"/>
    <w:rsid w:val="00EC21EF"/>
    <w:rsid w:val="00ED793D"/>
    <w:rsid w:val="00EE1FBF"/>
    <w:rsid w:val="00EE7F57"/>
    <w:rsid w:val="00EF14EE"/>
    <w:rsid w:val="00EF74CA"/>
    <w:rsid w:val="00F04280"/>
    <w:rsid w:val="00F12F5D"/>
    <w:rsid w:val="00F2397E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9E138-976F-430D-9E71-10EC3402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03ECD-2B7A-413E-A6CF-FC63C35F82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115</cp:revision>
  <cp:lastPrinted>2018-08-29T11:18:00Z</cp:lastPrinted>
  <dcterms:created xsi:type="dcterms:W3CDTF">2016-08-08T11:35:00Z</dcterms:created>
  <dcterms:modified xsi:type="dcterms:W3CDTF">2024-09-10T08:08:00Z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