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2E1D0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30.09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2E1D0A">
        <w:rPr>
          <w:rFonts w:ascii="CG Omega" w:hAnsi="CG Omega" w:cs="Tahoma"/>
          <w:spacing w:val="1"/>
          <w:lang w:eastAsia="ar-SA"/>
        </w:rPr>
        <w:t>271.28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  <w:bookmarkStart w:id="0" w:name="_GoBack"/>
      <w:bookmarkEnd w:id="0"/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2E1D0A">
        <w:rPr>
          <w:rFonts w:ascii="CG Omega" w:eastAsia="Times New Roman" w:hAnsi="CG Omega" w:cs="Tahoma"/>
          <w:b/>
        </w:rPr>
        <w:t>Budowa trybun sportowych, oświetlenia, bieżni tartanowej, parkingu wraz z wymianą nawierzchni płyty boiska na stadionie sportowym w m.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2E1D0A">
        <w:rPr>
          <w:rFonts w:ascii="CG Omega" w:hAnsi="CG Omega"/>
        </w:rPr>
        <w:t xml:space="preserve"> 5 450 000,00</w:t>
      </w:r>
      <w:r w:rsidR="00574398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>zł.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A2510"/>
    <w:rsid w:val="001E60C9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2022-09-30T06:44:00Z</dcterms:modified>
</cp:coreProperties>
</file>