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30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31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10.bin" ContentType="application/vnd.ms-office.activeX"/>
  <Override PartName="/word/activeX/activeX3.bin" ContentType="application/vnd.ms-office.activeX"/>
  <Override PartName="/word/activeX/activeX21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27.xml" ContentType="application/vnd.ms-office.activeX+xml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activeX26.bin" ContentType="application/vnd.ms-office.activeX"/>
  <Override PartName="/word/activeX/activeX27.bin" ContentType="application/vnd.ms-office.activeX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activeX31.xml" ContentType="application/vnd.ms-office.activeX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.2.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8.2024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1"/>
        <w:bidi w:val="0"/>
        <w:spacing w:lineRule="auto" w:line="360" w:before="240" w:after="120"/>
        <w:ind w:hanging="0" w:start="3118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BodyText"/>
        <w:bidi w:val="0"/>
        <w:jc w:val="start"/>
        <w:rPr>
          <w:rFonts w:ascii="Arial" w:hAnsi="Arial" w:eastAsia="Arial" w:cs="Arial"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2: Zakup i dostawa 4 komputerów stacjonarnych typu All in One oraz 2 skanerów z automatycznym podajnikiem ADF na potrzeby UM Legionowo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w niniejszym </w:t>
      </w:r>
      <w:r>
        <w:rPr>
          <w:rFonts w:ascii="Arial" w:hAnsi="Arial"/>
          <w:sz w:val="22"/>
          <w:szCs w:val="22"/>
        </w:rPr>
        <w:t>formularzu</w:t>
      </w:r>
      <w:r>
        <w:rPr>
          <w:rFonts w:ascii="Arial" w:hAnsi="Arial"/>
          <w:sz w:val="22"/>
          <w:szCs w:val="22"/>
        </w:rPr>
        <w:t xml:space="preserve"> musi uzupełnić konkretnie wymagane informacje </w:t>
      </w:r>
      <w:r>
        <w:rPr>
          <w:rFonts w:ascii="Arial" w:hAnsi="Arial"/>
          <w:sz w:val="22"/>
          <w:szCs w:val="22"/>
        </w:rPr>
        <w:t xml:space="preserve">oraz oświadczyć, że oferowane parametry są zgodne z opisem technicznym przedmiotu zamówienia. 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oferty konieczne jest dołączenie dokumentów wymaganych w OPZ potwierdzających spełnianie wymagań Zamawiającego.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omputer</w:t>
      </w:r>
      <w:r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>stacjonarn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typu All in One: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oferowanych parametrów lub sposobu spełnienia wymagania: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8.3pt" type="#_x0000_t75"/>
          <w:control r:id="rId4" w:name="Producent komputerów stacjonarnych typu All in One" w:shapeid="control_shape_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25.15pt;height:28.3pt" type="#_x0000_t75"/>
          <w:control r:id="rId5" w:name="Model komputerów stacjonarnych typu All in One" w:shapeid="control_shape_3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276" w:before="0" w:after="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parametrach nie słabszych niż:</w: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25.15pt;height:28.3pt" type="#_x0000_t75"/>
          <w:control r:id="rId6" w:name="Producent procesora w komputerach stacjonarnych typu All in One" w:shapeid="control_shape_4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25.15pt;height:28.3pt" type="#_x0000_t75"/>
          <w:control r:id="rId7" w:name="Model procesora w komputerach stacjonarnych typu All in One" w:shapeid="control_shape_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 benchmarku: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425.15pt;height:28.3pt" type="#_x0000_t75"/>
          <w:control r:id="rId8" w:name="Wynik benchmarku" w:shapeid="control_shape_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operacyjna: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Wielkość pamięci operacyjnej w GB: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70.05pt;height:28.3pt" type="#_x0000_t75"/>
          <w:control r:id="rId9" w:name="Wielkość pamięci operacyjnej" w:shapeid="control_shape_7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Ekran: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Przekątna </w:t>
      </w:r>
      <w:r>
        <w:rPr>
          <w:rFonts w:ascii="Arial" w:hAnsi="Arial"/>
          <w:sz w:val="22"/>
          <w:szCs w:val="22"/>
        </w:rPr>
        <w:t>ekranu</w:t>
      </w:r>
      <w:r>
        <w:rPr>
          <w:rFonts w:ascii="Arial" w:hAnsi="Arial"/>
          <w:sz w:val="22"/>
          <w:szCs w:val="22"/>
        </w:rPr>
        <w:t xml:space="preserve"> w calach: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70.05pt;height:28.3pt" type="#_x0000_t75"/>
          <w:control r:id="rId10" w:name="Przekątna ekranu w calach" w:shapeid="control_shape_8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15.15pt;height:28.3pt" type="#_x0000_t75"/>
          <w:control r:id="rId11" w:name="Rozdzielczość" w:shapeid="control_shape_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25.15pt;height:28.3pt" type="#_x0000_t75"/>
          <w:control r:id="rId12" w:name="Producent dysku twardego w komputerach stacjonarnych typu All in One" w:shapeid="control_shape_10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25.15pt;height:28.3pt" type="#_x0000_t75"/>
          <w:control r:id="rId13" w:name="Model dysku twardego w komputerach stacjonarnych typu All in One" w:shapeid="control_shape_11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Pojemność dysku twardego w GB: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170.05pt;height:28.3pt" type="#_x0000_t75"/>
          <w:control r:id="rId14" w:name="Pojemność dysku twardego w GB" w:shapeid="control_shape_1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Prędkość zapisu: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170.05pt;height:28.3pt" type="#_x0000_t75"/>
          <w:control r:id="rId15" w:name="Prędkość zapisu" w:shapeid="control_shape_13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Prędkość odczytu: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170.05pt;height:28.3pt" type="#_x0000_t75"/>
          <w:control r:id="rId16" w:name="Prędkość odczytu" w:shapeid="control_shape_14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Moduł TPM: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18.15pt;height:16.45pt" type="#_x0000_t75"/>
          <w:control r:id="rId17" w:name="Spełnia" w:shapeid="control_shape_15"/>
        </w:object>
      </w:r>
      <w:r>
        <w:rPr>
          <w:rFonts w:ascii="Arial" w:hAnsi="Arial"/>
          <w:sz w:val="22"/>
          <w:szCs w:val="22"/>
        </w:rPr>
        <w:t xml:space="preserve">Komputer </w:t>
      </w:r>
      <w:r>
        <w:rPr>
          <w:rFonts w:ascii="Arial" w:hAnsi="Arial"/>
          <w:sz w:val="22"/>
          <w:szCs w:val="22"/>
        </w:rPr>
        <w:t>stacjonarny typu All in One</w:t>
      </w:r>
      <w:r>
        <w:rPr>
          <w:rFonts w:ascii="Arial" w:hAnsi="Arial"/>
          <w:sz w:val="22"/>
          <w:szCs w:val="22"/>
        </w:rPr>
        <w:t xml:space="preserve"> wyposażony jest w moduł TPM zgodny z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Kamera: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170.05pt;height:28.3pt" type="#_x0000_t75"/>
          <w:control r:id="rId18" w:name="Rozdzielczość wbudowanej kamery" w:shapeid="control_shape_1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Porty wbudowane: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wyjść HDMI </w:t>
      </w:r>
      <w:r>
        <w:rPr>
          <w:rFonts w:ascii="Arial" w:hAnsi="Arial"/>
          <w:sz w:val="22"/>
          <w:szCs w:val="22"/>
        </w:rPr>
        <w:t>lub DisplayPort lub miniDisplayPort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170.05pt;height:28.3pt" type="#_x0000_t75"/>
          <w:control r:id="rId19" w:name="Ilość wyjść HDMI lub DisplayPort lub miniDisplayPort" w:shapeid="control_shape_17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</w:t>
      </w:r>
      <w:r>
        <w:rPr>
          <w:rFonts w:ascii="Arial" w:hAnsi="Arial"/>
          <w:sz w:val="22"/>
          <w:szCs w:val="22"/>
        </w:rPr>
        <w:t xml:space="preserve">wszystkich </w:t>
      </w:r>
      <w:r>
        <w:rPr>
          <w:rFonts w:ascii="Arial" w:hAnsi="Arial"/>
          <w:sz w:val="22"/>
          <w:szCs w:val="22"/>
        </w:rPr>
        <w:t>portów USB: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170.05pt;height:28.3pt" type="#_x0000_t75"/>
          <w:control r:id="rId20" w:name="Ilość wszystkich portów USB" w:shapeid="control_shape_18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USB 3.1 lub 3.2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9" o:allowincell="t" style="width:170.05pt;height:28.3pt" type="#_x0000_t75"/>
          <w:control r:id="rId21" w:name="Ilość portów USB 3.1 lub 3.2" w:shapeid="control_shape_19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17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RJ45: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0" o:allowincell="t" style="width:170.05pt;height:28.3pt" type="#_x0000_t75"/>
          <w:control r:id="rId22" w:name="Ilość portów RJ45" w:shapeid="control_shape_20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Obudowa: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Kolor obudowy: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1" o:allowincell="t" style="width:380pt;height:28.3pt" type="#_x0000_t75"/>
          <w:control r:id="rId23" w:name="Kolor obudowy" w:shapeid="control_shape_21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Klawiatura:</w: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klawiatury: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2" o:allowincell="t" style="width:380pt;height:28.3pt" type="#_x0000_t75"/>
          <w:control r:id="rId24" w:name="Producent klawiatury do komputera stacjonarnego typu All in One" w:shapeid="control_shape_22"/>
        </w:objec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klawiatury: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3" o:allowincell="t" style="width:380pt;height:28.3pt" type="#_x0000_t75"/>
          <w:control r:id="rId25" w:name="Konkretny model klawiatury do komputera stacjonarnego typu All in One" w:shapeid="control_shape_23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Mysz:</w: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myszy: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4" o:allowincell="t" style="width:380pt;height:28.3pt" type="#_x0000_t75"/>
          <w:control r:id="rId26" w:name="Producent myszy do komputera stacjonarnego typu All in One" w:shapeid="control_shape_24"/>
        </w:objec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myszy: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5" o:allowincell="t" style="width:380pt;height:28.3pt" type="#_x0000_t75"/>
          <w:control r:id="rId27" w:name="Konkretny model myszy do komputera stacjonarnego typu All in One" w:shapeid="control_shape_25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komputerów stacjonarnych typu All in One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Dokładna n</w:t>
      </w:r>
      <w:r>
        <w:rPr>
          <w:rFonts w:ascii="Arial" w:hAnsi="Arial"/>
          <w:sz w:val="22"/>
          <w:szCs w:val="22"/>
        </w:rPr>
        <w:t>azwa i wersja systemu operacyjnego: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6" o:allowincell="t" style="width:410.95pt;height:28.3pt" type="#_x0000_t75"/>
          <w:control r:id="rId28" w:name="Dokładna nazwa i wersja systemu operacyjnego komputerów stacjonarnych typu All in One" w:shapeid="control_shape_26"/>
        </w:objec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skanery z automatycznym podajnikiem ADF </w:t>
      </w:r>
      <w:r>
        <w:rPr>
          <w:rFonts w:ascii="Arial" w:hAnsi="Arial"/>
          <w:sz w:val="22"/>
          <w:szCs w:val="22"/>
          <w:lang w:val="pl-PL"/>
        </w:rPr>
        <w:t>(producent, model):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709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7" o:allowincell="t" style="width:453.5pt;height:25.45pt" type="#_x0000_t75"/>
          <w:control r:id="rId29" w:name="Producent i model skanerów z automatycznym podajnikiem ADF" w:shapeid="control_shape_27"/>
        </w:objec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gwarancji: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strony internetowej producenta komputeró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stacjonarnych typu All in One</w:t>
      </w:r>
      <w:r>
        <w:rPr>
          <w:rFonts w:ascii="Arial" w:hAnsi="Arial"/>
          <w:sz w:val="22"/>
          <w:szCs w:val="22"/>
        </w:rPr>
        <w:t>, na której Zamawiający będzie miał możliwość sprawdzenia statusu gwarancji komputeró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stacjonarnych typu All in One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8" o:allowincell="t" style="width:395.65pt;height:28.3pt" type="#_x0000_t75"/>
          <w:control r:id="rId30" w:name="Adres strony internetowej producenta" w:shapeid="control_shape_28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9" o:allowincell="t" style="width:18.15pt;height:16.45pt" type="#_x0000_t75"/>
          <w:control r:id="rId31" w:name="Spełnia" w:shapeid="control_shape_29"/>
        </w:object>
      </w:r>
      <w:r>
        <w:rPr>
          <w:rFonts w:ascii="Arial" w:hAnsi="Arial"/>
          <w:sz w:val="22"/>
          <w:szCs w:val="22"/>
        </w:rPr>
        <w:t xml:space="preserve">Wykonawca akceptuje warunki gwarancji </w:t>
      </w:r>
      <w:r>
        <w:rPr>
          <w:rFonts w:ascii="Arial" w:hAnsi="Arial"/>
          <w:sz w:val="22"/>
          <w:szCs w:val="22"/>
        </w:rPr>
        <w:t xml:space="preserve">zawarte w </w:t>
      </w:r>
      <w:r>
        <w:rPr>
          <w:rFonts w:ascii="Arial" w:hAnsi="Arial"/>
          <w:sz w:val="22"/>
          <w:szCs w:val="22"/>
        </w:rPr>
        <w:t>punk</w:t>
      </w:r>
      <w:r>
        <w:rPr>
          <w:rFonts w:ascii="Arial" w:hAnsi="Arial"/>
          <w:sz w:val="22"/>
          <w:szCs w:val="22"/>
        </w:rPr>
        <w:t>tach</w:t>
      </w:r>
      <w:r>
        <w:rPr>
          <w:rFonts w:ascii="Arial" w:hAnsi="Arial"/>
          <w:sz w:val="22"/>
          <w:szCs w:val="22"/>
        </w:rPr>
        <w:t xml:space="preserve"> 4.</w:t>
      </w:r>
      <w:r>
        <w:rPr>
          <w:rFonts w:ascii="Arial" w:hAnsi="Arial"/>
          <w:sz w:val="22"/>
          <w:szCs w:val="22"/>
        </w:rPr>
        <w:t>3-4.9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warunki: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30" o:allowincell="t" style="width:18.15pt;height:16.45pt" type="#_x0000_t75"/>
          <w:control r:id="rId32" w:name="Akceptacja" w:shapeid="control_shape_30"/>
        </w:objec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Wykonawca akceptuje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inne warunki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zawarte w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punkcie 5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OPZ.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hanging="0" w:start="0" w:end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suff w:val="nothing"/>
      <w:lvlText w:val=" %1 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suff w:val="space"/>
      <w:lvlText w:val=" %1.%2.%3 "/>
      <w:lvlJc w:val="start"/>
      <w:pPr>
        <w:tabs>
          <w:tab w:val="num" w:pos="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4</Pages>
  <Words>430</Words>
  <Characters>2796</Characters>
  <CharactersWithSpaces>3180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2024-02-22T10:17:25Z</dcterms:created>
  <dc:creator/>
  <dc:description/>
  <dc:language>pl-PL</dc:language>
  <cp:lastModifiedBy/>
  <dcterms:modified xsi:type="dcterms:W3CDTF">2024-02-22T10:22:31Z</dcterms:modified>
  <cp:revision>2</cp:revision>
  <dc:subject/>
  <dc:title>Formularz podzespołów</dc:title>
</cp:coreProperties>
</file>