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E7483F"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PCM/ZP 0</w:t>
      </w:r>
      <w:r w:rsidR="00193A8C">
        <w:rPr>
          <w:rFonts w:ascii="Cambria" w:eastAsia="TimesNewRoman" w:hAnsi="Cambria"/>
          <w:b/>
          <w:color w:val="000000"/>
          <w:sz w:val="20"/>
          <w:szCs w:val="20"/>
        </w:rPr>
        <w:t>3</w:t>
      </w:r>
      <w:r w:rsidRPr="00F23D90">
        <w:rPr>
          <w:rFonts w:ascii="Cambria" w:eastAsia="TimesNewRoman" w:hAnsi="Cambria"/>
          <w:b/>
          <w:color w:val="000000"/>
          <w:sz w:val="20"/>
          <w:szCs w:val="20"/>
        </w:rPr>
        <w:t>/I/202</w:t>
      </w:r>
      <w:r w:rsidR="00193A8C">
        <w:rPr>
          <w:rFonts w:ascii="Cambria" w:eastAsia="TimesNewRoman" w:hAnsi="Cambria"/>
          <w:b/>
          <w:color w:val="000000"/>
          <w:sz w:val="20"/>
          <w:szCs w:val="20"/>
        </w:rPr>
        <w:t>2</w:t>
      </w:r>
      <w:r w:rsidRPr="00F23D90">
        <w:rPr>
          <w:rFonts w:ascii="Cambria" w:eastAsia="TimesNewRoman" w:hAnsi="Cambria"/>
          <w:b/>
          <w:color w:val="000000"/>
          <w:sz w:val="20"/>
          <w:szCs w:val="20"/>
        </w:rPr>
        <w:t xml:space="preserve">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193A8C">
        <w:rPr>
          <w:rFonts w:ascii="Cambria" w:hAnsi="Cambria"/>
          <w:sz w:val="20"/>
          <w:szCs w:val="20"/>
        </w:rPr>
        <w:t>05</w:t>
      </w:r>
      <w:r w:rsidRPr="00F23D90">
        <w:rPr>
          <w:rFonts w:ascii="Cambria" w:hAnsi="Cambria"/>
          <w:sz w:val="20"/>
          <w:szCs w:val="20"/>
        </w:rPr>
        <w:t>.</w:t>
      </w:r>
      <w:r w:rsidR="00193A8C">
        <w:rPr>
          <w:rFonts w:ascii="Cambria" w:hAnsi="Cambria"/>
          <w:sz w:val="20"/>
          <w:szCs w:val="20"/>
        </w:rPr>
        <w:t>07</w:t>
      </w:r>
      <w:r w:rsidRPr="00F23D90">
        <w:rPr>
          <w:rFonts w:ascii="Cambria" w:hAnsi="Cambria"/>
          <w:sz w:val="20"/>
          <w:szCs w:val="20"/>
        </w:rPr>
        <w:t>.202</w:t>
      </w:r>
      <w:r w:rsidR="00193A8C">
        <w:rPr>
          <w:rFonts w:ascii="Cambria" w:hAnsi="Cambria"/>
          <w:sz w:val="20"/>
          <w:szCs w:val="20"/>
        </w:rPr>
        <w:t>2</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 xml:space="preserve">na </w:t>
      </w:r>
      <w:r w:rsidR="00193A8C">
        <w:rPr>
          <w:rFonts w:asciiTheme="majorHAnsi" w:hAnsiTheme="majorHAnsi" w:cs="Arial"/>
          <w:b/>
          <w:sz w:val="20"/>
          <w:szCs w:val="20"/>
        </w:rPr>
        <w:t>USŁUGĘ</w:t>
      </w:r>
      <w:r w:rsidRPr="005B085C">
        <w:rPr>
          <w:rFonts w:asciiTheme="majorHAnsi" w:hAnsiTheme="majorHAnsi" w:cs="Arial"/>
          <w:b/>
          <w:sz w:val="20"/>
          <w:szCs w:val="20"/>
        </w:rPr>
        <w:t xml:space="preserve"> pn.:</w:t>
      </w:r>
    </w:p>
    <w:p w:rsidR="007029ED" w:rsidRPr="00A164B1" w:rsidRDefault="007029ED" w:rsidP="007029ED">
      <w:pPr>
        <w:spacing w:line="360" w:lineRule="auto"/>
        <w:jc w:val="center"/>
        <w:rPr>
          <w:rFonts w:asciiTheme="majorHAnsi" w:hAnsiTheme="majorHAnsi" w:cs="Arial"/>
          <w:sz w:val="20"/>
          <w:szCs w:val="20"/>
        </w:rPr>
      </w:pPr>
    </w:p>
    <w:p w:rsidR="007029ED" w:rsidRPr="005B085C" w:rsidRDefault="007029ED" w:rsidP="00162B2A">
      <w:pPr>
        <w:jc w:val="both"/>
        <w:rPr>
          <w:rFonts w:asciiTheme="majorHAnsi" w:eastAsiaTheme="majorEastAsia" w:hAnsiTheme="majorHAnsi" w:cs="Arial"/>
          <w:b/>
          <w:lang w:eastAsia="en-US"/>
        </w:rPr>
      </w:pPr>
      <w:r w:rsidRPr="005B085C">
        <w:rPr>
          <w:rFonts w:asciiTheme="majorHAnsi" w:eastAsiaTheme="majorEastAsia" w:hAnsiTheme="majorHAnsi" w:cs="Arial"/>
          <w:b/>
          <w:lang w:eastAsia="en-US"/>
        </w:rPr>
        <w:t>„</w:t>
      </w:r>
      <w:r w:rsidR="00193A8C">
        <w:rPr>
          <w:rFonts w:ascii="Cambria" w:hAnsi="Cambria" w:cs="Arial"/>
          <w:b/>
        </w:rPr>
        <w:t>Ś</w:t>
      </w:r>
      <w:r w:rsidR="00193A8C" w:rsidRPr="00193A8C">
        <w:rPr>
          <w:rFonts w:ascii="Cambria" w:hAnsi="Cambria" w:cs="Arial"/>
          <w:b/>
        </w:rPr>
        <w:t>wiadczenie usługi pralniczej wraz z transportem zgodnie z wymogami sanitarno – epidemiologicznymi dla Powiatowego Centrum Medycznego Spółka z o. o. w Braniewie</w:t>
      </w:r>
      <w:r w:rsidRPr="00193A8C">
        <w:rPr>
          <w:rFonts w:asciiTheme="majorHAnsi" w:eastAsiaTheme="majorEastAsia" w:hAnsiTheme="majorHAnsi" w:cs="Arial"/>
          <w:b/>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str7</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1</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3</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8</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9</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981949">
        <w:rPr>
          <w:rFonts w:asciiTheme="majorHAnsi" w:hAnsiTheme="majorHAnsi"/>
        </w:rPr>
        <w:t>2</w:t>
      </w:r>
      <w:r w:rsidR="00AB6ABD">
        <w:rPr>
          <w:rFonts w:asciiTheme="majorHAnsi" w:hAnsiTheme="majorHAnsi"/>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D62875" w:rsidRDefault="00E7483F" w:rsidP="00221612">
      <w:pPr>
        <w:pStyle w:val="Akapitzlist"/>
        <w:spacing w:line="360" w:lineRule="auto"/>
        <w:ind w:left="0"/>
        <w:rPr>
          <w:rFonts w:asciiTheme="majorHAnsi" w:hAnsiTheme="majorHAnsi" w:cs="Arial"/>
          <w:b/>
          <w:bCs/>
          <w:color w:val="FF0000"/>
          <w:sz w:val="20"/>
          <w:szCs w:val="20"/>
          <w:u w:color="FF0000"/>
        </w:rPr>
      </w:pPr>
      <w:hyperlink r:id="rId14" w:history="1">
        <w:r w:rsidRPr="00570BC6">
          <w:rPr>
            <w:rStyle w:val="Hipercze"/>
          </w:rPr>
          <w:t>https://platformazakupowa.pl/transakcja/635775</w:t>
        </w:r>
      </w:hyperlink>
      <w:r>
        <w:t xml:space="preserve"> </w:t>
      </w:r>
      <w:r w:rsidR="00D62875" w:rsidRPr="00D62875">
        <w:rPr>
          <w:rFonts w:asciiTheme="majorHAnsi" w:hAnsiTheme="majorHAnsi"/>
          <w:sz w:val="20"/>
          <w:szCs w:val="20"/>
        </w:rPr>
        <w:t xml:space="preserve"> </w:t>
      </w:r>
      <w:r w:rsidR="00BF1186" w:rsidRPr="00D62875">
        <w:rPr>
          <w:rFonts w:asciiTheme="majorHAnsi" w:hAnsiTheme="majorHAnsi"/>
          <w:sz w:val="20"/>
          <w:szCs w:val="20"/>
        </w:rPr>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5"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6"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w:t>
      </w:r>
      <w:r w:rsidR="00132CEF">
        <w:rPr>
          <w:rFonts w:asciiTheme="majorHAnsi" w:hAnsiTheme="majorHAnsi" w:cs="Arial"/>
          <w:sz w:val="20"/>
        </w:rPr>
        <w:t xml:space="preserve">nie </w:t>
      </w:r>
      <w:r w:rsidRPr="00162B2A">
        <w:rPr>
          <w:rFonts w:asciiTheme="majorHAnsi" w:hAnsiTheme="majorHAnsi" w:cs="Arial"/>
          <w:sz w:val="20"/>
        </w:rPr>
        <w:t xml:space="preserve">dopuszcza składanie ofert częściowych na jedną lub większą liczbę wymienionych </w:t>
      </w:r>
      <w:r w:rsidR="00446D67">
        <w:rPr>
          <w:rFonts w:asciiTheme="majorHAnsi" w:hAnsiTheme="majorHAnsi" w:cs="Arial"/>
          <w:sz w:val="20"/>
        </w:rPr>
        <w:t xml:space="preserve">                  </w:t>
      </w:r>
      <w:r w:rsidRPr="00162B2A">
        <w:rPr>
          <w:rFonts w:asciiTheme="majorHAnsi" w:hAnsiTheme="majorHAnsi" w:cs="Arial"/>
          <w:sz w:val="20"/>
        </w:rPr>
        <w:t>w niniejszej specyfikacji części zamówienia.</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DA62A6" w:rsidRDefault="005B085C" w:rsidP="003147F0">
      <w:pPr>
        <w:tabs>
          <w:tab w:val="num" w:pos="975"/>
        </w:tabs>
        <w:spacing w:line="360" w:lineRule="auto"/>
        <w:ind w:left="435" w:hanging="435"/>
        <w:rPr>
          <w:rFonts w:asciiTheme="majorHAnsi" w:hAnsiTheme="majorHAnsi"/>
          <w:color w:val="FF0000"/>
          <w:sz w:val="20"/>
          <w:szCs w:val="20"/>
        </w:rPr>
      </w:pPr>
      <w:r w:rsidRPr="00DA62A6">
        <w:rPr>
          <w:rFonts w:asciiTheme="majorHAnsi" w:hAnsiTheme="majorHAnsi" w:cs="StarSymbol"/>
          <w:color w:val="000000"/>
          <w:sz w:val="20"/>
          <w:szCs w:val="20"/>
          <w:lang w:eastAsia="ar-SA"/>
        </w:rPr>
        <w:t>Kod wg klasyfikacji CPV:</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główny:</w:t>
      </w:r>
      <w:r w:rsidRPr="00DA62A6">
        <w:rPr>
          <w:rFonts w:ascii="Cambria" w:hAnsi="Cambria"/>
          <w:sz w:val="20"/>
          <w:szCs w:val="20"/>
        </w:rPr>
        <w:tab/>
      </w:r>
      <w:r w:rsidRPr="00DA62A6">
        <w:rPr>
          <w:rFonts w:ascii="Cambria" w:hAnsi="Cambria"/>
          <w:sz w:val="20"/>
          <w:szCs w:val="20"/>
        </w:rPr>
        <w:tab/>
      </w:r>
      <w:r w:rsidRPr="00DA62A6">
        <w:rPr>
          <w:rFonts w:ascii="Cambria" w:hAnsi="Cambria"/>
          <w:sz w:val="20"/>
          <w:szCs w:val="20"/>
        </w:rPr>
        <w:tab/>
      </w:r>
      <w:r w:rsidR="00132CEF" w:rsidRPr="00815B38">
        <w:rPr>
          <w:rFonts w:ascii="Cambria" w:hAnsi="Cambria" w:cs="Arial"/>
          <w:b/>
          <w:sz w:val="19"/>
          <w:szCs w:val="19"/>
        </w:rPr>
        <w:t>98.31.00.00-9 – usługi prania</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dodatkowy:</w:t>
      </w:r>
      <w:r w:rsidRPr="00DA62A6">
        <w:rPr>
          <w:rFonts w:ascii="Cambria" w:hAnsi="Cambria"/>
          <w:sz w:val="20"/>
          <w:szCs w:val="20"/>
        </w:rPr>
        <w:tab/>
      </w:r>
      <w:r w:rsidRPr="00DA62A6">
        <w:rPr>
          <w:rFonts w:ascii="Cambria" w:hAnsi="Cambria"/>
          <w:sz w:val="20"/>
          <w:szCs w:val="20"/>
        </w:rPr>
        <w:tab/>
      </w:r>
      <w:r w:rsidR="00132CEF" w:rsidRPr="00815B38">
        <w:rPr>
          <w:rFonts w:ascii="Cambria" w:hAnsi="Cambria" w:cs="Arial"/>
          <w:b/>
          <w:sz w:val="19"/>
          <w:szCs w:val="19"/>
        </w:rPr>
        <w:t>98.31.10.00-6 – usługi odbierania prania</w:t>
      </w:r>
    </w:p>
    <w:p w:rsidR="005B085C" w:rsidRPr="005B085C" w:rsidRDefault="005B085C" w:rsidP="002E1176">
      <w:pPr>
        <w:numPr>
          <w:ilvl w:val="0"/>
          <w:numId w:val="49"/>
        </w:numPr>
        <w:tabs>
          <w:tab w:val="left" w:pos="426"/>
        </w:tabs>
        <w:autoSpaceDE w:val="0"/>
        <w:autoSpaceDN w:val="0"/>
        <w:adjustRightInd w:val="0"/>
        <w:spacing w:line="360" w:lineRule="auto"/>
        <w:ind w:left="0" w:firstLine="0"/>
        <w:jc w:val="both"/>
        <w:rPr>
          <w:rFonts w:asciiTheme="majorHAnsi" w:hAnsiTheme="majorHAnsi" w:cs="Arial"/>
          <w:sz w:val="20"/>
          <w:szCs w:val="20"/>
        </w:rPr>
      </w:pPr>
      <w:r w:rsidRPr="005B085C">
        <w:rPr>
          <w:rFonts w:asciiTheme="majorHAnsi" w:hAnsiTheme="majorHAnsi" w:cs="Arial"/>
          <w:sz w:val="20"/>
          <w:szCs w:val="20"/>
        </w:rPr>
        <w:t>Przedmiotem zamówienia jest:</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Przedmiotem zamówienia jest świadczenie usług pralniczych oraz odbiór brudnej i dostawa czystej bielizny od i do Powiatowego Centrum Medycznego Spółka z o. o. w Braniewie, 14-500 Braniewo, ul. Moniuszki 13.</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 xml:space="preserve">Przewidywana ilość roczna prania szpitalnego wynosi 43 000 kg (miesięcznie: 3500 kg – 3 600 kg). Ilości kilogramów podane przez zamawiającego, są wartościami szacunkowymi, faktyczna </w:t>
      </w:r>
      <w:r w:rsidRPr="00132CEF">
        <w:rPr>
          <w:rFonts w:ascii="Cambria" w:hAnsi="Cambria" w:cs="Arial"/>
          <w:sz w:val="20"/>
          <w:szCs w:val="20"/>
        </w:rPr>
        <w:lastRenderedPageBreak/>
        <w:t>ilość będzie uwarunkowana od liczby hospitalizowanych pacjentów w danym okresie rozliczeniowym. W związku z tym Wykonawca</w:t>
      </w:r>
      <w:r w:rsidRPr="00132CEF">
        <w:rPr>
          <w:rFonts w:ascii="Cambria" w:hAnsi="Cambria" w:cs="Arial"/>
          <w:color w:val="000000"/>
          <w:sz w:val="20"/>
          <w:szCs w:val="20"/>
        </w:rPr>
        <w:t xml:space="preserve"> zobowiązany jest do elastycznego reagowania na zwiększające się lub zmniejszające zapotrzebowanie na usługi pralnicze.</w:t>
      </w:r>
    </w:p>
    <w:p w:rsidR="00132CEF" w:rsidRPr="00132CEF" w:rsidRDefault="00132CEF" w:rsidP="00132CEF">
      <w:pPr>
        <w:overflowPunct w:val="0"/>
        <w:autoSpaceDE w:val="0"/>
        <w:spacing w:line="360" w:lineRule="auto"/>
        <w:ind w:left="727"/>
        <w:jc w:val="both"/>
        <w:textAlignment w:val="baseline"/>
        <w:rPr>
          <w:rFonts w:ascii="Cambria" w:hAnsi="Cambria" w:cs="Arial"/>
          <w:sz w:val="20"/>
          <w:szCs w:val="20"/>
        </w:rPr>
      </w:pPr>
      <w:r w:rsidRPr="00132CEF">
        <w:rPr>
          <w:rFonts w:ascii="Cambria" w:hAnsi="Cambria" w:cs="Arial"/>
          <w:sz w:val="20"/>
          <w:szCs w:val="20"/>
        </w:rPr>
        <w:t>Asortyment bielizny objęty usługą można tematycznie podzielić na:</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xml:space="preserve">- bielizna pościelowa </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odzież ochronna i robocza</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bielizna chorych</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inne (koce, poduszki materace, kołdry itp.)</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Waga bielizny szpitalnej, będzie określona na podstawie średniej wagi reprezentatywnej próby danego asortymentu w zaokrągleniu do drugiego miejsca po przecinku np.: poszwy, poszewki, prześcieradła, fartucha, itp.). Do przeliczenia ilości kilogramów prania będzie brana ilość w sztukach danego asortymentu - potwierdzona wewnętrznym dowodem odbioru.</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Wagę jednostkowego asortymentu określa Specyfikacja wagowa, która jest załącznikiem nr 1 do projektu umowy. Inne, nie posiadające standardowych wymiarów czy wagi asortymenty będą ważone w magazynie bielizny brudnej Zamawiającego. Na podstawie tej wagi będzie rozliczana ilość, stosując powyższe kryteria</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b/>
          <w:sz w:val="20"/>
          <w:szCs w:val="20"/>
        </w:rPr>
        <w:t>Wymagania dotyczące świadczenia usługi pralniczej</w:t>
      </w:r>
      <w:r w:rsidRPr="00132CEF">
        <w:rPr>
          <w:rFonts w:ascii="Cambria" w:hAnsi="Cambria" w:cs="Arial"/>
          <w:sz w:val="20"/>
          <w:szCs w:val="20"/>
        </w:rPr>
        <w:t>:</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Świadczenie usługi pralniczej winno być zgodne zgodnie z wymogami sanitarno-epidemiologicznymi dla procesów prania bielizny szpitalnej, bezwzględnie przestrzegając Zarządzeń i Zaleceń Głównego Inspektora Sanitarnego i zgodnie z Rozporządzeniem Ministerstwa Zdrowia i Opieki Społecznej z dn. 10.11.2006 r.(Dz. U. Nr 213, poz. 1568 wraz z późniejszymi zmianami), z zastosowaniem preparatów posiadających atest PZH.</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Posiadanie w pralni bariery higienicznej w pralni (zgodnie z wymogami zwartymi w Dz. U. nr 47 poz. 366 z 1992 roku wraz z późniejszymi zmianami) – przez barierę higieniczna należy rozumieć bezwzględny zakaz krzyżowania się dróg „czystych” i „brudnych”, zakaz ten dotyczy także personelu, który musi być przypisany do jednej ze stref oraz transportu bielizny na terenie pralni</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Usługa pralnicza bielizny i odzieży szpitalnej, obejmuje w szczególności:</w:t>
      </w:r>
    </w:p>
    <w:p w:rsidR="00132CEF" w:rsidRPr="00132CEF" w:rsidRDefault="00132CEF" w:rsidP="00132CEF">
      <w:pPr>
        <w:numPr>
          <w:ilvl w:val="1"/>
          <w:numId w:val="72"/>
        </w:numPr>
        <w:autoSpaceDE w:val="0"/>
        <w:autoSpaceDN w:val="0"/>
        <w:adjustRightInd w:val="0"/>
        <w:spacing w:line="360" w:lineRule="auto"/>
        <w:jc w:val="both"/>
        <w:rPr>
          <w:rFonts w:ascii="Cambria" w:hAnsi="Cambria" w:cs="Arial"/>
          <w:sz w:val="20"/>
          <w:szCs w:val="20"/>
        </w:rPr>
      </w:pPr>
      <w:proofErr w:type="spellStart"/>
      <w:r w:rsidRPr="00132CEF">
        <w:rPr>
          <w:rFonts w:ascii="Cambria" w:hAnsi="Cambria" w:cs="Arial"/>
          <w:sz w:val="20"/>
          <w:szCs w:val="20"/>
        </w:rPr>
        <w:t>Chemiczno</w:t>
      </w:r>
      <w:proofErr w:type="spellEnd"/>
      <w:r w:rsidRPr="00132CEF">
        <w:rPr>
          <w:rFonts w:ascii="Cambria" w:hAnsi="Cambria" w:cs="Arial"/>
          <w:sz w:val="20"/>
          <w:szCs w:val="20"/>
        </w:rPr>
        <w:t xml:space="preserve"> – termiczna dezynfekcja w procesie prania i pranie wodne z pełnym wykończeniem (maglowanie, prasowanie), segregowanie  i pakowanie czystej bielizny oraz transport bielizny czystej i brudnej.</w:t>
      </w:r>
    </w:p>
    <w:p w:rsidR="00132CEF" w:rsidRPr="00132CEF" w:rsidRDefault="00132CEF" w:rsidP="00132CEF">
      <w:pPr>
        <w:numPr>
          <w:ilvl w:val="1"/>
          <w:numId w:val="72"/>
        </w:numPr>
        <w:spacing w:line="360" w:lineRule="auto"/>
        <w:ind w:right="60"/>
        <w:jc w:val="both"/>
        <w:rPr>
          <w:rFonts w:ascii="Cambria" w:hAnsi="Cambria" w:cs="Arial"/>
          <w:sz w:val="20"/>
          <w:szCs w:val="20"/>
        </w:rPr>
      </w:pPr>
      <w:r w:rsidRPr="00132CEF">
        <w:rPr>
          <w:rFonts w:ascii="Cambria" w:hAnsi="Cambria" w:cs="Arial"/>
          <w:sz w:val="20"/>
          <w:szCs w:val="20"/>
        </w:rPr>
        <w:t>Odbierana brudna bielizna do prania będzie oznakowana, posegregowana asortymentowo i zapakowana w worki będące własnością Zamawiającego. W przypadku ujawnienia przez Wykonawcę nie oznakowanej sztuki bielizny, Zamawiający będzie miał obowiązek jej oznakowania</w:t>
      </w:r>
    </w:p>
    <w:p w:rsidR="00132CEF" w:rsidRPr="00132CEF" w:rsidRDefault="00132CEF" w:rsidP="00132CEF">
      <w:pPr>
        <w:numPr>
          <w:ilvl w:val="1"/>
          <w:numId w:val="72"/>
        </w:numPr>
        <w:spacing w:line="360" w:lineRule="auto"/>
        <w:ind w:right="60"/>
        <w:jc w:val="both"/>
        <w:rPr>
          <w:rFonts w:ascii="Cambria" w:hAnsi="Cambria" w:cs="Arial"/>
          <w:sz w:val="20"/>
          <w:szCs w:val="20"/>
        </w:rPr>
      </w:pPr>
      <w:r w:rsidRPr="00132CEF">
        <w:rPr>
          <w:rFonts w:ascii="Cambria" w:hAnsi="Cambria" w:cs="Arial"/>
          <w:sz w:val="20"/>
          <w:szCs w:val="20"/>
        </w:rPr>
        <w:t>Przywożona czysta bielizna powinna być posegregowana asortymentowo i dostarczona w opakowaniach (worki, wózki, kosze itp.) będących własnością Wykonawcy.</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lastRenderedPageBreak/>
        <w:t>Przywóz i odbiór bielizny winien być realizowany 3 razy w tygodniu (poniedziałek, środa, piątek) w godzinach 8</w:t>
      </w:r>
      <w:r w:rsidRPr="00132CEF">
        <w:rPr>
          <w:rFonts w:ascii="Cambria" w:hAnsi="Cambria" w:cs="Arial"/>
          <w:sz w:val="20"/>
          <w:szCs w:val="20"/>
          <w:vertAlign w:val="superscript"/>
        </w:rPr>
        <w:t>00</w:t>
      </w:r>
      <w:r w:rsidRPr="00132CEF">
        <w:rPr>
          <w:rFonts w:ascii="Cambria" w:hAnsi="Cambria" w:cs="Arial"/>
          <w:sz w:val="20"/>
          <w:szCs w:val="20"/>
        </w:rPr>
        <w:t xml:space="preserve"> - 10</w:t>
      </w:r>
      <w:r w:rsidRPr="00132CEF">
        <w:rPr>
          <w:rFonts w:ascii="Cambria" w:hAnsi="Cambria" w:cs="Arial"/>
          <w:sz w:val="20"/>
          <w:szCs w:val="20"/>
          <w:vertAlign w:val="superscript"/>
        </w:rPr>
        <w:t>00</w:t>
      </w:r>
      <w:r w:rsidRPr="00132CEF">
        <w:rPr>
          <w:rFonts w:ascii="Cambria" w:hAnsi="Cambria" w:cs="Arial"/>
          <w:sz w:val="20"/>
          <w:szCs w:val="20"/>
        </w:rPr>
        <w:t>. Jeżeli dzień odbioru jest dniem wolnym od pracy Wykonawca zobowiązany jest przyjechać następnego dnia po dniu wolnym.</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Przywóz i odbiór bielizny będzie realizowany transportem i na koszt Wykonawcy. Załadunek i wyładunek na terenie siedziby Zamawiającego wykonywany będzie pracownikami Wykonawcy.</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Czas wykonywania usługi pralniczej nie powinien przekraczać 48 godz. od momentu odbioru od Zamawiającego bielizny brudnej do momentu przekazania Zamawiającemu bielizny czystej.</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Odbiór i zdawanie bielizny będzie dokumentowany protokółami zdawczo – odbiorczymi. Podpisany przez obie strony dokument stanowi podstawę do rozliczenia wykonanej usługi.</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Wykonawca ponosić będzie odpowiedzialność prawną i materialną za wykonywane usługi pralnicze w zakresie jakości i zgodności z wymogami sanitarnymi wobec organów kontroli ( Stacja sanitarno– epidemiologiczna, PIP, BHP i epidemiologia szpitalna).</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b/>
          <w:sz w:val="20"/>
          <w:szCs w:val="20"/>
        </w:rPr>
        <w:t>Wymagania dotyczące zachowania bariery higienicznej w środkach transportu</w:t>
      </w:r>
    </w:p>
    <w:p w:rsidR="00132CEF" w:rsidRPr="00132CEF" w:rsidRDefault="00132CEF" w:rsidP="00132CEF">
      <w:pPr>
        <w:pStyle w:val="Akapitzlist"/>
        <w:tabs>
          <w:tab w:val="left" w:pos="284"/>
          <w:tab w:val="left" w:pos="1276"/>
        </w:tabs>
        <w:spacing w:line="360" w:lineRule="auto"/>
        <w:ind w:left="727"/>
        <w:jc w:val="both"/>
        <w:rPr>
          <w:rFonts w:ascii="Cambria" w:hAnsi="Cambria" w:cs="Arial"/>
          <w:sz w:val="20"/>
          <w:szCs w:val="20"/>
        </w:rPr>
      </w:pPr>
      <w:r w:rsidRPr="00132CEF">
        <w:rPr>
          <w:rFonts w:ascii="Cambria" w:hAnsi="Cambria" w:cs="Arial"/>
          <w:sz w:val="20"/>
          <w:szCs w:val="20"/>
        </w:rPr>
        <w:t>Zamawiający wymaga by Wykonawca dysponował oddzielnymi środkami transportu brudnej i czystej bielizny lub środkami transportu posiadającymi szczelną i podzieloną komorę załadunkową tak, aby bielizna czysta nie miała możliwości jakiegokolwiek kontaktu z bielizna brudną</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Pr="00162B2A">
        <w:rPr>
          <w:rFonts w:asciiTheme="majorHAnsi" w:hAnsiTheme="majorHAnsi" w:cs="Arial"/>
          <w:b/>
          <w:bCs/>
          <w:sz w:val="20"/>
        </w:rPr>
        <w:t>12 miesięcy</w:t>
      </w:r>
      <w:r w:rsidRPr="00162B2A">
        <w:rPr>
          <w:rFonts w:asciiTheme="majorHAnsi" w:hAnsiTheme="majorHAnsi" w:cs="Arial"/>
          <w:sz w:val="20"/>
        </w:rPr>
        <w:t xml:space="preserve"> od daty podpisania umowy.</w:t>
      </w: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lastRenderedPageBreak/>
        <w:t xml:space="preserve">Szczegółowe zagadnienia dotyczące terminu realizacji umowy uregulowane są we wzorze umowy stanowiącej </w:t>
      </w:r>
      <w:r w:rsidRPr="00162B2A">
        <w:rPr>
          <w:rFonts w:asciiTheme="majorHAnsi" w:hAnsiTheme="majorHAnsi" w:cs="Arial"/>
          <w:b/>
          <w:bCs/>
          <w:sz w:val="20"/>
        </w:rPr>
        <w:t xml:space="preserve">załącznik nr </w:t>
      </w:r>
      <w:r w:rsidR="00D36A96">
        <w:rPr>
          <w:rFonts w:asciiTheme="majorHAnsi" w:hAnsiTheme="majorHAnsi" w:cs="Arial"/>
          <w:b/>
          <w:bCs/>
          <w:sz w:val="20"/>
        </w:rPr>
        <w:t>5</w:t>
      </w:r>
      <w:r w:rsidRPr="00162B2A">
        <w:rPr>
          <w:rFonts w:asciiTheme="majorHAnsi" w:hAnsiTheme="majorHAnsi" w:cs="Arial"/>
          <w:b/>
          <w:bCs/>
          <w:sz w:val="20"/>
        </w:rPr>
        <w:t xml:space="preserve"> do SWZ</w:t>
      </w:r>
      <w:r w:rsidRPr="00162B2A">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913D32"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9B5BCB">
        <w:rPr>
          <w:rFonts w:asciiTheme="majorHAnsi" w:hAnsiTheme="majorHAnsi"/>
        </w:rPr>
        <w:t>Wykonawca wykaże, że jest ubezpieczony od odpowiedzialności cywilnej w zakresie prowadzonej działalności związanej z przedmiotem zamówienia</w:t>
      </w:r>
      <w:r w:rsidR="00E72360">
        <w:rPr>
          <w:rFonts w:asciiTheme="majorHAnsi" w:hAnsiTheme="majorHAnsi"/>
        </w:rPr>
        <w:t xml:space="preserve"> </w:t>
      </w:r>
      <w:r w:rsidR="00E72360" w:rsidRPr="009B5BCB">
        <w:rPr>
          <w:rFonts w:asciiTheme="majorHAnsi" w:hAnsiTheme="majorHAnsi"/>
        </w:rPr>
        <w:t xml:space="preserve">na sumę co najmniej  </w:t>
      </w:r>
      <w:r w:rsidR="00E72360">
        <w:rPr>
          <w:rFonts w:asciiTheme="majorHAnsi" w:hAnsiTheme="majorHAnsi"/>
        </w:rPr>
        <w:t>1</w:t>
      </w:r>
      <w:r w:rsidR="00E72360" w:rsidRPr="009B5BCB">
        <w:rPr>
          <w:rFonts w:asciiTheme="majorHAnsi" w:hAnsiTheme="majorHAnsi"/>
        </w:rPr>
        <w:t xml:space="preserve">00.000,00 zł (słownie: </w:t>
      </w:r>
      <w:r w:rsidR="00E72360">
        <w:rPr>
          <w:rFonts w:asciiTheme="majorHAnsi" w:hAnsiTheme="majorHAnsi"/>
        </w:rPr>
        <w:t>sto tysięcy złotych</w:t>
      </w:r>
      <w:r w:rsidR="00E72360" w:rsidRPr="009B5BCB">
        <w:rPr>
          <w:rFonts w:asciiTheme="majorHAnsi" w:hAnsiTheme="majorHAnsi"/>
        </w:rPr>
        <w:t xml:space="preserve"> złotych)</w:t>
      </w:r>
      <w:r w:rsidR="007029ED" w:rsidRPr="00162B2A">
        <w:rPr>
          <w:rFonts w:asciiTheme="majorHAnsi" w:hAnsiTheme="majorHAnsi" w:cs="Arial"/>
          <w:sz w:val="20"/>
          <w:szCs w:val="20"/>
        </w:rPr>
        <w:t>.</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F66AAC"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9B5BCB">
        <w:rPr>
          <w:rFonts w:asciiTheme="majorHAnsi" w:hAnsiTheme="majorHAnsi"/>
        </w:rPr>
        <w:t>Wykonawca wykaże, że ukończy</w:t>
      </w:r>
      <w:r>
        <w:rPr>
          <w:rFonts w:asciiTheme="majorHAnsi" w:hAnsiTheme="majorHAnsi"/>
        </w:rPr>
        <w:t>ł</w:t>
      </w:r>
      <w:r w:rsidRPr="009B5BCB">
        <w:rPr>
          <w:rFonts w:asciiTheme="majorHAnsi" w:hAnsiTheme="majorHAnsi"/>
        </w:rPr>
        <w:t xml:space="preserve"> w okresie 5 lat przed upływem terminu składania ofert, a jeżeli okres prowadzenia działalności jest krótszy – to w tym okresie wykonał - co najmniej </w:t>
      </w:r>
      <w:r>
        <w:rPr>
          <w:rFonts w:asciiTheme="majorHAnsi" w:hAnsiTheme="majorHAnsi"/>
        </w:rPr>
        <w:t>1</w:t>
      </w:r>
      <w:r w:rsidRPr="009B5BCB">
        <w:rPr>
          <w:rFonts w:asciiTheme="majorHAnsi" w:hAnsiTheme="majorHAnsi"/>
        </w:rPr>
        <w:t xml:space="preserve"> </w:t>
      </w:r>
      <w:r>
        <w:rPr>
          <w:rFonts w:asciiTheme="majorHAnsi" w:hAnsiTheme="majorHAnsi"/>
        </w:rPr>
        <w:t xml:space="preserve">usługi </w:t>
      </w:r>
      <w:r w:rsidRPr="009B5BCB">
        <w:rPr>
          <w:rFonts w:asciiTheme="majorHAnsi" w:hAnsiTheme="majorHAnsi"/>
        </w:rPr>
        <w:t>nie mniejszej niż</w:t>
      </w:r>
      <w:r>
        <w:rPr>
          <w:rFonts w:asciiTheme="majorHAnsi" w:hAnsiTheme="majorHAnsi"/>
        </w:rPr>
        <w:t xml:space="preserve"> wartość niniejszego postępowania</w:t>
      </w:r>
      <w:r w:rsidR="005A591C" w:rsidRPr="00815B38">
        <w:rPr>
          <w:rFonts w:ascii="Cambria" w:hAnsi="Cambria" w:cs="Arial"/>
          <w:szCs w:val="19"/>
        </w:rPr>
        <w:t xml:space="preserve"> wraz</w:t>
      </w:r>
      <w:r w:rsidR="00132CEF" w:rsidRPr="00815B38">
        <w:rPr>
          <w:rFonts w:ascii="Cambria" w:hAnsi="Cambria" w:cs="Arial"/>
          <w:szCs w:val="19"/>
        </w:rPr>
        <w:t xml:space="preserve"> z załączonymi dokumentami potwierdzającymi, że usługi zostały wykonane należycie</w:t>
      </w:r>
      <w:r w:rsidR="007029ED" w:rsidRPr="00162B2A">
        <w:rPr>
          <w:rFonts w:asciiTheme="majorHAnsi" w:hAnsiTheme="majorHAnsi" w:cs="Arial"/>
          <w:sz w:val="20"/>
          <w:szCs w:val="20"/>
        </w:rPr>
        <w:t>.</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162B2A">
        <w:rPr>
          <w:rFonts w:asciiTheme="majorHAnsi" w:hAnsiTheme="majorHAnsi" w:cs="Arial"/>
          <w:bCs/>
          <w:kern w:val="32"/>
          <w:sz w:val="20"/>
        </w:rPr>
        <w:lastRenderedPageBreak/>
        <w:t>koncesji, co doprowadziło do wypowiedzenia lub odstąpienia od umowy, odszkodowania, wykonania zastępczego lub realizacji uprawnień z tytułu rękojmi za wady;</w:t>
      </w:r>
    </w:p>
    <w:p w:rsidR="007029ED" w:rsidRPr="00162B2A"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z 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D01D3E">
        <w:rPr>
          <w:rFonts w:asciiTheme="majorHAnsi" w:hAnsiTheme="majorHAnsi" w:cs="Arial"/>
          <w:b/>
          <w:sz w:val="20"/>
          <w:szCs w:val="20"/>
        </w:rPr>
        <w:t xml:space="preserve">Załącznik nr </w:t>
      </w:r>
      <w:r w:rsidR="008A1C17">
        <w:rPr>
          <w:rFonts w:asciiTheme="majorHAnsi" w:hAnsiTheme="majorHAnsi" w:cs="Arial"/>
          <w:b/>
          <w:sz w:val="20"/>
          <w:szCs w:val="20"/>
        </w:rPr>
        <w:t>2</w:t>
      </w:r>
      <w:r w:rsidR="00C560C9" w:rsidRPr="00D01D3E">
        <w:rPr>
          <w:rFonts w:asciiTheme="majorHAnsi" w:hAnsiTheme="majorHAnsi" w:cs="Arial"/>
          <w:b/>
          <w:sz w:val="20"/>
          <w:szCs w:val="20"/>
        </w:rPr>
        <w:t xml:space="preserve"> do SWZ</w:t>
      </w:r>
      <w:r w:rsidR="00C560C9" w:rsidRPr="0034757D">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p>
    <w:p w:rsidR="00497A0C" w:rsidRPr="00DE5AA1" w:rsidRDefault="008A1C17" w:rsidP="003147F0">
      <w:pPr>
        <w:pStyle w:val="Akapitzlist"/>
        <w:numPr>
          <w:ilvl w:val="1"/>
          <w:numId w:val="22"/>
        </w:numPr>
        <w:spacing w:line="360" w:lineRule="auto"/>
        <w:ind w:right="20"/>
        <w:jc w:val="both"/>
        <w:rPr>
          <w:rFonts w:asciiTheme="majorHAnsi" w:hAnsiTheme="majorHAnsi" w:cs="Arial"/>
          <w:bCs/>
          <w:sz w:val="20"/>
          <w:szCs w:val="20"/>
        </w:rPr>
      </w:pPr>
      <w:r w:rsidRPr="00815B38">
        <w:rPr>
          <w:rFonts w:ascii="Cambria" w:hAnsi="Cambria" w:cs="Arial"/>
          <w:sz w:val="19"/>
          <w:szCs w:val="19"/>
        </w:rPr>
        <w:t xml:space="preserve">Opinia sanitarna wydana przez Państwowy Inspektorat Sanitarny potwierdzająca spełnienie wymogów pralni w zakresie prania bielizny szpitalnej, w której będzie realizowane zamówienie </w:t>
      </w:r>
    </w:p>
    <w:p w:rsidR="00497A0C" w:rsidRPr="00DE5AA1" w:rsidRDefault="008A1C17" w:rsidP="00D55B4D">
      <w:pPr>
        <w:pStyle w:val="Akapitzlist"/>
        <w:numPr>
          <w:ilvl w:val="1"/>
          <w:numId w:val="22"/>
        </w:numPr>
        <w:spacing w:line="360" w:lineRule="auto"/>
        <w:ind w:right="20"/>
        <w:rPr>
          <w:rFonts w:asciiTheme="majorHAnsi" w:hAnsiTheme="majorHAnsi" w:cs="Arial"/>
          <w:bCs/>
          <w:sz w:val="20"/>
          <w:szCs w:val="20"/>
        </w:rPr>
      </w:pPr>
      <w:r w:rsidRPr="00815B38">
        <w:rPr>
          <w:rFonts w:ascii="Cambria" w:hAnsi="Cambria" w:cs="Arial"/>
          <w:sz w:val="19"/>
          <w:szCs w:val="19"/>
        </w:rPr>
        <w:t>Opinia wydana przez Państwowy Inspektorat Sanitarny dotyczące posiadanych środków transportu, w zakresie przewożenia bielizny szpitalnej</w:t>
      </w:r>
      <w:r w:rsidR="00D33351" w:rsidRPr="00DE5AA1">
        <w:rPr>
          <w:rFonts w:ascii="Cambria" w:hAnsi="Cambria"/>
          <w:sz w:val="20"/>
          <w:szCs w:val="20"/>
        </w:rPr>
        <w:t xml:space="preserve"> </w:t>
      </w:r>
    </w:p>
    <w:p w:rsidR="00D55B4D" w:rsidRPr="00DE5AA1" w:rsidRDefault="008A1C17" w:rsidP="00D55B4D">
      <w:pPr>
        <w:pStyle w:val="Akapitzlist"/>
        <w:numPr>
          <w:ilvl w:val="1"/>
          <w:numId w:val="22"/>
        </w:numPr>
        <w:spacing w:line="360" w:lineRule="auto"/>
        <w:ind w:right="20"/>
        <w:rPr>
          <w:rFonts w:asciiTheme="majorHAnsi" w:hAnsiTheme="majorHAnsi" w:cs="Arial"/>
          <w:bCs/>
          <w:sz w:val="20"/>
          <w:szCs w:val="20"/>
        </w:rPr>
      </w:pPr>
      <w:r w:rsidRPr="00815B38">
        <w:rPr>
          <w:rFonts w:ascii="Cambria" w:hAnsi="Cambria" w:cs="Arial"/>
          <w:sz w:val="19"/>
          <w:szCs w:val="19"/>
        </w:rPr>
        <w:t xml:space="preserve">Kompleksowy opis  technologii wykonania usługi prania </w:t>
      </w:r>
    </w:p>
    <w:p w:rsidR="00DE5AA1" w:rsidRPr="008A1C17" w:rsidRDefault="008A1C17" w:rsidP="003147F0">
      <w:pPr>
        <w:pStyle w:val="Akapitzlist"/>
        <w:numPr>
          <w:ilvl w:val="1"/>
          <w:numId w:val="22"/>
        </w:numPr>
        <w:spacing w:line="360" w:lineRule="auto"/>
        <w:ind w:right="20"/>
        <w:jc w:val="both"/>
        <w:rPr>
          <w:rFonts w:asciiTheme="majorHAnsi" w:hAnsiTheme="majorHAnsi" w:cs="Arial"/>
          <w:bCs/>
          <w:sz w:val="19"/>
          <w:szCs w:val="19"/>
        </w:rPr>
      </w:pPr>
      <w:r w:rsidRPr="008A1C17">
        <w:rPr>
          <w:rFonts w:asciiTheme="majorHAnsi" w:hAnsiTheme="majorHAnsi"/>
          <w:sz w:val="19"/>
          <w:szCs w:val="19"/>
        </w:rPr>
        <w:t>Zobowiązanie podmiotu udostępniającego zasoby ( o ile dotyczy)</w:t>
      </w:r>
      <w:r w:rsidR="001767C7" w:rsidRPr="008A1C17">
        <w:rPr>
          <w:rFonts w:ascii="Cambria" w:hAnsi="Cambria"/>
          <w:sz w:val="19"/>
          <w:szCs w:val="19"/>
        </w:rPr>
        <w:t>,</w:t>
      </w:r>
    </w:p>
    <w:p w:rsidR="00850672" w:rsidRPr="00850672" w:rsidRDefault="00850672" w:rsidP="003147F0">
      <w:pPr>
        <w:pStyle w:val="Akapitzlist"/>
        <w:numPr>
          <w:ilvl w:val="0"/>
          <w:numId w:val="17"/>
        </w:numPr>
        <w:tabs>
          <w:tab w:val="clear" w:pos="1151"/>
          <w:tab w:val="num" w:pos="426"/>
        </w:tabs>
        <w:spacing w:line="360" w:lineRule="auto"/>
        <w:ind w:left="426" w:hanging="426"/>
        <w:jc w:val="both"/>
        <w:rPr>
          <w:rFonts w:asciiTheme="majorHAnsi" w:hAnsiTheme="majorHAnsi" w:cs="Calibri"/>
          <w:sz w:val="20"/>
          <w:szCs w:val="20"/>
        </w:rPr>
      </w:pPr>
      <w:r w:rsidRPr="00C4479F">
        <w:rPr>
          <w:rFonts w:asciiTheme="majorHAnsi" w:hAnsiTheme="majorHAnsi" w:cs="Calibri"/>
          <w:sz w:val="20"/>
          <w:szCs w:val="20"/>
        </w:rPr>
        <w:t xml:space="preserve">Jeżeli wykonawca nie złoży przedmiotowych środków dowodowych lub złożone przedmiotowe środki dowodowe będą niekompletne, zamawiający wezwie do ich złożenia lub uzupełnienia </w:t>
      </w:r>
      <w:r w:rsidR="00446D67">
        <w:rPr>
          <w:rFonts w:asciiTheme="majorHAnsi" w:hAnsiTheme="majorHAnsi" w:cs="Calibri"/>
          <w:sz w:val="20"/>
          <w:szCs w:val="20"/>
        </w:rPr>
        <w:t xml:space="preserve">                       </w:t>
      </w:r>
      <w:r w:rsidRPr="00C4479F">
        <w:rPr>
          <w:rFonts w:asciiTheme="majorHAnsi" w:hAnsiTheme="majorHAnsi" w:cs="Calibri"/>
          <w:sz w:val="20"/>
          <w:szCs w:val="20"/>
        </w:rPr>
        <w:t>w wyznaczonym terminie, chyba że przedmiotowy środek dowodowy ma służyć potwierdzeniu zgodności z cechami lub kryteriami określonymi w opisie kryteriów oceny ofert lub, pomimo</w:t>
      </w:r>
      <w:r w:rsidRPr="00850672">
        <w:rPr>
          <w:rFonts w:asciiTheme="majorHAnsi" w:hAnsiTheme="majorHAnsi" w:cs="Calibri"/>
          <w:sz w:val="20"/>
          <w:szCs w:val="20"/>
        </w:rPr>
        <w:t xml:space="preserve"> złożenia przedmiotowego środka dowodowego, oferta podlega odrzuceniu albo zachodzą przesłanki unieważnienia postępowania</w:t>
      </w:r>
    </w:p>
    <w:p w:rsidR="00850672" w:rsidRPr="00850672" w:rsidRDefault="00850672" w:rsidP="003147F0">
      <w:pPr>
        <w:pStyle w:val="Akapitzlist"/>
        <w:numPr>
          <w:ilvl w:val="0"/>
          <w:numId w:val="17"/>
        </w:numPr>
        <w:tabs>
          <w:tab w:val="clear" w:pos="1151"/>
          <w:tab w:val="num" w:pos="426"/>
        </w:tabs>
        <w:spacing w:line="360" w:lineRule="auto"/>
        <w:ind w:left="426" w:hanging="426"/>
        <w:rPr>
          <w:rFonts w:asciiTheme="majorHAnsi" w:hAnsiTheme="majorHAnsi" w:cs="Calibri"/>
          <w:sz w:val="20"/>
          <w:szCs w:val="20"/>
        </w:rPr>
      </w:pPr>
      <w:r w:rsidRPr="00850672">
        <w:rPr>
          <w:rFonts w:asciiTheme="majorHAnsi" w:hAnsiTheme="majorHAnsi" w:cs="Calibri"/>
          <w:sz w:val="20"/>
          <w:szCs w:val="20"/>
        </w:rPr>
        <w:t>Zamawiający może żądać od wykonawców wyjaśnień dotyczących treści przedmiotowych środków dowodowych</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w:t>
      </w:r>
      <w:r w:rsidR="00591608">
        <w:rPr>
          <w:rFonts w:asciiTheme="majorHAnsi" w:hAnsiTheme="majorHAnsi"/>
          <w:b/>
          <w:sz w:val="20"/>
          <w:szCs w:val="20"/>
        </w:rPr>
        <w:t>O</w:t>
      </w:r>
      <w:r w:rsidR="00C4479F">
        <w:rPr>
          <w:rFonts w:asciiTheme="majorHAnsi" w:hAnsiTheme="majorHAnsi"/>
          <w:b/>
          <w:sz w:val="20"/>
          <w:szCs w:val="20"/>
        </w:rPr>
        <w:t>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lastRenderedPageBreak/>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8A1C17" w:rsidRDefault="00550A8D"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cs="Arial"/>
          <w:b/>
          <w:sz w:val="19"/>
          <w:szCs w:val="19"/>
        </w:rPr>
        <w:t>Oświadczenie wykonawcy</w:t>
      </w:r>
      <w:r w:rsidRPr="008A1C17">
        <w:rPr>
          <w:rFonts w:asciiTheme="majorHAnsi" w:hAnsiTheme="majorHAnsi" w:cs="Arial"/>
          <w:sz w:val="19"/>
          <w:szCs w:val="19"/>
        </w:rPr>
        <w:t xml:space="preserve">, w zakresie art. 108 ust. 1 pkt 5 ustawy, </w:t>
      </w:r>
      <w:r w:rsidRPr="008A1C17">
        <w:rPr>
          <w:rFonts w:asciiTheme="majorHAnsi" w:hAnsiTheme="majorHAnsi" w:cs="Arial"/>
          <w:b/>
          <w:sz w:val="19"/>
          <w:szCs w:val="19"/>
        </w:rPr>
        <w:t>o braku przynależności do tej samej grupy kapitałowej</w:t>
      </w:r>
      <w:r w:rsidRPr="008A1C17">
        <w:rPr>
          <w:rFonts w:asciiTheme="majorHAnsi" w:hAnsiTheme="majorHAnsi" w:cs="Arial"/>
          <w:sz w:val="19"/>
          <w:szCs w:val="19"/>
        </w:rPr>
        <w:t xml:space="preserve"> w rozumieniu ustawy z dnia 16 lutego 2007 r. o ochronie konkurencji i konsumentów (Dz. U. z 2020 r. poz. 1076 i 1086),</w:t>
      </w:r>
      <w:r w:rsidR="00091E45">
        <w:rPr>
          <w:rFonts w:asciiTheme="majorHAnsi" w:hAnsiTheme="majorHAnsi" w:cs="Arial"/>
          <w:sz w:val="19"/>
          <w:szCs w:val="19"/>
        </w:rPr>
        <w:t xml:space="preserve">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 xml:space="preserve">z innym wykonawcą, który złożył odrębną ofertę, ofertę częściową lub wniosek o dopuszczenie do udziału </w:t>
      </w:r>
      <w:r w:rsidR="00091E45">
        <w:rPr>
          <w:rFonts w:asciiTheme="majorHAnsi" w:hAnsiTheme="majorHAnsi" w:cs="Arial"/>
          <w:sz w:val="19"/>
          <w:szCs w:val="19"/>
        </w:rPr>
        <w:t xml:space="preserve">                                   </w:t>
      </w:r>
      <w:r w:rsidRPr="008A1C17">
        <w:rPr>
          <w:rFonts w:asciiTheme="majorHAnsi" w:hAnsiTheme="majorHAnsi" w:cs="Arial"/>
          <w:sz w:val="19"/>
          <w:szCs w:val="19"/>
        </w:rPr>
        <w:t xml:space="preserve">w postępowaniu, albo oświadczenia o przynależności do tej samej grupy kapitałowej wraz </w:t>
      </w:r>
      <w:r w:rsidR="00091E45">
        <w:rPr>
          <w:rFonts w:asciiTheme="majorHAnsi" w:hAnsiTheme="majorHAnsi" w:cs="Arial"/>
          <w:sz w:val="19"/>
          <w:szCs w:val="19"/>
        </w:rPr>
        <w:t xml:space="preserve">                       </w:t>
      </w:r>
      <w:r w:rsidRPr="008A1C17">
        <w:rPr>
          <w:rFonts w:asciiTheme="majorHAnsi" w:hAnsiTheme="majorHAnsi" w:cs="Arial"/>
          <w:sz w:val="19"/>
          <w:szCs w:val="19"/>
        </w:rPr>
        <w:t xml:space="preserve">z dokumentami lub informacjami potwierdzającymi przygotowanie oferty, oferty częściowej lub wniosku o dopuszczenie do udziału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w postępowaniu niezależnie od innego wykonawcy należącego do tej samej grupy kapitałowej</w:t>
      </w:r>
    </w:p>
    <w:p w:rsidR="00D01D3E" w:rsidRPr="008A1C17" w:rsidRDefault="00D01D3E"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cs="Arial"/>
          <w:b/>
          <w:color w:val="000000"/>
          <w:spacing w:val="2"/>
          <w:sz w:val="19"/>
          <w:szCs w:val="19"/>
        </w:rPr>
        <w:t>Odpis lub informacji z Krajowego Rejestru S</w:t>
      </w:r>
      <w:r w:rsidRPr="008A1C17">
        <w:rPr>
          <w:rFonts w:asciiTheme="majorHAnsi" w:hAnsiTheme="majorHAnsi"/>
          <w:b/>
          <w:color w:val="000000"/>
          <w:spacing w:val="2"/>
          <w:sz w:val="19"/>
          <w:szCs w:val="19"/>
        </w:rPr>
        <w:t>ą</w:t>
      </w:r>
      <w:r w:rsidRPr="008A1C17">
        <w:rPr>
          <w:rFonts w:asciiTheme="majorHAnsi" w:hAnsiTheme="majorHAnsi" w:cs="Arial"/>
          <w:b/>
          <w:color w:val="000000"/>
          <w:spacing w:val="2"/>
          <w:sz w:val="19"/>
          <w:szCs w:val="19"/>
        </w:rPr>
        <w:t xml:space="preserve">dowego lub z Centralnej Ewidencji </w:t>
      </w:r>
      <w:r w:rsidR="00446D67" w:rsidRPr="008A1C17">
        <w:rPr>
          <w:rFonts w:asciiTheme="majorHAnsi" w:hAnsiTheme="majorHAnsi" w:cs="Arial"/>
          <w:b/>
          <w:color w:val="000000"/>
          <w:spacing w:val="2"/>
          <w:sz w:val="19"/>
          <w:szCs w:val="19"/>
        </w:rPr>
        <w:t xml:space="preserve">                        </w:t>
      </w:r>
      <w:r w:rsidRPr="008A1C17">
        <w:rPr>
          <w:rFonts w:asciiTheme="majorHAnsi" w:hAnsiTheme="majorHAnsi" w:cs="Arial"/>
          <w:b/>
          <w:color w:val="000000"/>
          <w:spacing w:val="2"/>
          <w:sz w:val="19"/>
          <w:szCs w:val="19"/>
        </w:rPr>
        <w:t>i Informacji o Dzia</w:t>
      </w:r>
      <w:r w:rsidRPr="008A1C17">
        <w:rPr>
          <w:rFonts w:asciiTheme="majorHAnsi" w:hAnsiTheme="majorHAnsi"/>
          <w:b/>
          <w:color w:val="000000"/>
          <w:spacing w:val="2"/>
          <w:sz w:val="19"/>
          <w:szCs w:val="19"/>
        </w:rPr>
        <w:t>ł</w:t>
      </w:r>
      <w:r w:rsidRPr="008A1C17">
        <w:rPr>
          <w:rFonts w:asciiTheme="majorHAnsi" w:hAnsiTheme="majorHAnsi" w:cs="Arial"/>
          <w:b/>
          <w:color w:val="000000"/>
          <w:spacing w:val="2"/>
          <w:sz w:val="19"/>
          <w:szCs w:val="19"/>
        </w:rPr>
        <w:t>alno</w:t>
      </w:r>
      <w:r w:rsidRPr="008A1C17">
        <w:rPr>
          <w:rFonts w:asciiTheme="majorHAnsi" w:hAnsiTheme="majorHAnsi"/>
          <w:b/>
          <w:color w:val="000000"/>
          <w:spacing w:val="2"/>
          <w:sz w:val="19"/>
          <w:szCs w:val="19"/>
        </w:rPr>
        <w:t>ś</w:t>
      </w:r>
      <w:r w:rsidRPr="008A1C17">
        <w:rPr>
          <w:rFonts w:asciiTheme="majorHAnsi" w:hAnsiTheme="majorHAnsi" w:cs="Arial"/>
          <w:b/>
          <w:color w:val="000000"/>
          <w:spacing w:val="2"/>
          <w:sz w:val="19"/>
          <w:szCs w:val="19"/>
        </w:rPr>
        <w:t xml:space="preserve">ci </w:t>
      </w:r>
      <w:r w:rsidRPr="008A1C17">
        <w:rPr>
          <w:rFonts w:asciiTheme="majorHAnsi" w:hAnsiTheme="majorHAnsi" w:cs="Arial"/>
          <w:b/>
          <w:color w:val="000000"/>
          <w:spacing w:val="-1"/>
          <w:sz w:val="19"/>
          <w:szCs w:val="19"/>
        </w:rPr>
        <w:t>Gospodarczej</w:t>
      </w:r>
      <w:r w:rsidRPr="008A1C17">
        <w:rPr>
          <w:rFonts w:asciiTheme="majorHAnsi" w:hAnsiTheme="majorHAnsi" w:cs="Arial"/>
          <w:color w:val="000000"/>
          <w:spacing w:val="-1"/>
          <w:sz w:val="19"/>
          <w:szCs w:val="19"/>
        </w:rPr>
        <w:t xml:space="preserve"> , w zakresie art. 109 ust.1 pkt.4 ustawy , sporz</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dzonych nie wcze</w:t>
      </w:r>
      <w:r w:rsidRPr="008A1C17">
        <w:rPr>
          <w:rFonts w:asciiTheme="majorHAnsi" w:hAnsiTheme="majorHAnsi"/>
          <w:color w:val="000000"/>
          <w:spacing w:val="-1"/>
          <w:sz w:val="19"/>
          <w:szCs w:val="19"/>
        </w:rPr>
        <w:t>ś</w:t>
      </w:r>
      <w:r w:rsidRPr="008A1C17">
        <w:rPr>
          <w:rFonts w:asciiTheme="majorHAnsi" w:hAnsiTheme="majorHAnsi" w:cs="Arial"/>
          <w:color w:val="000000"/>
          <w:spacing w:val="-1"/>
          <w:sz w:val="19"/>
          <w:szCs w:val="19"/>
        </w:rPr>
        <w:t>niej ni</w:t>
      </w:r>
      <w:r w:rsidRPr="008A1C17">
        <w:rPr>
          <w:rFonts w:asciiTheme="majorHAnsi" w:hAnsiTheme="majorHAnsi"/>
          <w:color w:val="000000"/>
          <w:spacing w:val="-1"/>
          <w:sz w:val="19"/>
          <w:szCs w:val="19"/>
        </w:rPr>
        <w:t>ż</w:t>
      </w:r>
      <w:r w:rsidRPr="008A1C17">
        <w:rPr>
          <w:rFonts w:asciiTheme="majorHAnsi" w:hAnsiTheme="majorHAnsi" w:cs="Arial"/>
          <w:color w:val="000000"/>
          <w:spacing w:val="-1"/>
          <w:sz w:val="19"/>
          <w:szCs w:val="19"/>
        </w:rPr>
        <w:t xml:space="preserve"> 3 miesi</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 xml:space="preserve">ce przed jej </w:t>
      </w:r>
      <w:r w:rsidRPr="008A1C17">
        <w:rPr>
          <w:rFonts w:asciiTheme="majorHAnsi" w:hAnsiTheme="majorHAnsi" w:cs="Arial"/>
          <w:color w:val="000000"/>
          <w:spacing w:val="-4"/>
          <w:sz w:val="19"/>
          <w:szCs w:val="19"/>
        </w:rPr>
        <w:t>z</w:t>
      </w:r>
      <w:r w:rsidRPr="008A1C17">
        <w:rPr>
          <w:rFonts w:asciiTheme="majorHAnsi" w:hAnsiTheme="majorHAnsi"/>
          <w:color w:val="000000"/>
          <w:spacing w:val="-4"/>
          <w:sz w:val="19"/>
          <w:szCs w:val="19"/>
        </w:rPr>
        <w:t>ł</w:t>
      </w:r>
      <w:r w:rsidRPr="008A1C17">
        <w:rPr>
          <w:rFonts w:asciiTheme="majorHAnsi" w:hAnsiTheme="majorHAnsi" w:cs="Arial"/>
          <w:color w:val="000000"/>
          <w:spacing w:val="-4"/>
          <w:sz w:val="19"/>
          <w:szCs w:val="19"/>
        </w:rPr>
        <w:t>o</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 xml:space="preserve">eniem </w:t>
      </w:r>
      <w:r w:rsidRPr="008A1C17">
        <w:rPr>
          <w:rFonts w:asciiTheme="majorHAnsi" w:hAnsiTheme="majorHAnsi" w:cs="Arial"/>
          <w:color w:val="272727"/>
          <w:spacing w:val="-4"/>
          <w:sz w:val="19"/>
          <w:szCs w:val="19"/>
        </w:rPr>
        <w:t xml:space="preserve">, </w:t>
      </w:r>
      <w:r w:rsidRPr="008A1C17">
        <w:rPr>
          <w:rFonts w:asciiTheme="majorHAnsi" w:hAnsiTheme="majorHAnsi" w:cs="Arial"/>
          <w:color w:val="000000"/>
          <w:spacing w:val="-4"/>
          <w:sz w:val="19"/>
          <w:szCs w:val="19"/>
        </w:rPr>
        <w:t>je</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eli odr</w:t>
      </w:r>
      <w:r w:rsidRPr="008A1C17">
        <w:rPr>
          <w:rFonts w:asciiTheme="majorHAnsi" w:hAnsiTheme="majorHAnsi"/>
          <w:color w:val="000000"/>
          <w:spacing w:val="-4"/>
          <w:sz w:val="19"/>
          <w:szCs w:val="19"/>
        </w:rPr>
        <w:t>ę</w:t>
      </w:r>
      <w:r w:rsidRPr="008A1C17">
        <w:rPr>
          <w:rFonts w:asciiTheme="majorHAnsi" w:hAnsiTheme="majorHAnsi" w:cs="Arial"/>
          <w:color w:val="000000"/>
          <w:spacing w:val="-4"/>
          <w:sz w:val="19"/>
          <w:szCs w:val="19"/>
        </w:rPr>
        <w:t>bne przepisy wymagaj</w:t>
      </w:r>
      <w:r w:rsidRPr="008A1C17">
        <w:rPr>
          <w:rFonts w:asciiTheme="majorHAnsi" w:hAnsiTheme="majorHAnsi"/>
          <w:color w:val="000000"/>
          <w:spacing w:val="-4"/>
          <w:sz w:val="19"/>
          <w:szCs w:val="19"/>
        </w:rPr>
        <w:t>ą</w:t>
      </w:r>
      <w:r w:rsidRPr="008A1C17">
        <w:rPr>
          <w:rFonts w:asciiTheme="majorHAnsi" w:hAnsiTheme="majorHAnsi" w:cs="Arial"/>
          <w:color w:val="000000"/>
          <w:spacing w:val="-4"/>
          <w:sz w:val="19"/>
          <w:szCs w:val="19"/>
        </w:rPr>
        <w:t xml:space="preserve"> wpisu do rejestru lub ewidencji. </w:t>
      </w:r>
    </w:p>
    <w:p w:rsidR="008A1C17" w:rsidRPr="008A1C17" w:rsidRDefault="008A1C17"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b/>
          <w:bCs/>
          <w:sz w:val="19"/>
          <w:szCs w:val="19"/>
        </w:rPr>
        <w:t>dokumenty potwierdzające, że wykonawca jest ubezpieczony od odpowiedzialności cywilnej</w:t>
      </w:r>
      <w:r w:rsidRPr="008A1C17">
        <w:rPr>
          <w:rFonts w:asciiTheme="majorHAnsi" w:hAnsiTheme="majorHAnsi"/>
          <w:sz w:val="19"/>
          <w:szCs w:val="19"/>
        </w:rPr>
        <w:t xml:space="preserve"> w zakresie prowadzonej działalności związanej z przedmiotem zamówienia ze wskazaniem sumy gwarancyjnej tego ubezpieczenia i terminu obowiązywania</w:t>
      </w:r>
    </w:p>
    <w:p w:rsidR="008A1C17" w:rsidRPr="008A1C17" w:rsidRDefault="008A1C17"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sz w:val="19"/>
          <w:szCs w:val="19"/>
        </w:rPr>
        <w:t>w</w:t>
      </w:r>
      <w:r w:rsidRPr="008A1C17">
        <w:rPr>
          <w:rFonts w:asciiTheme="majorHAnsi" w:hAnsiTheme="majorHAnsi"/>
          <w:b/>
          <w:bCs/>
          <w:sz w:val="19"/>
          <w:szCs w:val="19"/>
        </w:rPr>
        <w:t xml:space="preserve">ykaz </w:t>
      </w:r>
      <w:r w:rsidR="00FD07DA">
        <w:rPr>
          <w:rFonts w:asciiTheme="majorHAnsi" w:hAnsiTheme="majorHAnsi"/>
          <w:b/>
          <w:bCs/>
          <w:sz w:val="19"/>
          <w:szCs w:val="19"/>
        </w:rPr>
        <w:t>usług</w:t>
      </w:r>
      <w:r w:rsidRPr="008A1C17">
        <w:rPr>
          <w:rFonts w:asciiTheme="majorHAnsi" w:hAnsiTheme="majorHAnsi"/>
          <w:sz w:val="19"/>
          <w:szCs w:val="19"/>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w:t>
      </w:r>
      <w:r w:rsidR="00FD07DA">
        <w:rPr>
          <w:rFonts w:asciiTheme="majorHAnsi" w:hAnsiTheme="majorHAnsi"/>
          <w:sz w:val="19"/>
          <w:szCs w:val="19"/>
        </w:rPr>
        <w:t>usługi</w:t>
      </w:r>
      <w:r w:rsidRPr="008A1C17">
        <w:rPr>
          <w:rFonts w:asciiTheme="majorHAnsi" w:hAnsiTheme="majorHAnsi"/>
          <w:sz w:val="19"/>
          <w:szCs w:val="19"/>
        </w:rPr>
        <w:t xml:space="preserve"> zostały wykonane należycie, przy czym dowodami, o których mowa, są referencje bądź inne dokumenty sporządzone przez podmiot, na rzecz którego </w:t>
      </w:r>
      <w:r w:rsidR="00FD07DA">
        <w:rPr>
          <w:rFonts w:asciiTheme="majorHAnsi" w:hAnsiTheme="majorHAnsi"/>
          <w:sz w:val="19"/>
          <w:szCs w:val="19"/>
        </w:rPr>
        <w:t>usługi</w:t>
      </w:r>
      <w:r w:rsidRPr="008A1C17">
        <w:rPr>
          <w:rFonts w:asciiTheme="majorHAnsi" w:hAnsiTheme="majorHAnsi"/>
          <w:sz w:val="19"/>
          <w:szCs w:val="19"/>
        </w:rPr>
        <w:t xml:space="preserve"> zostały wykonane, a jeżeli wykonawca z przyczyn niezależnych od niego nie jest w stanie uzyskać tych dokumentów – inne odpowiednie dokumenty- </w:t>
      </w:r>
      <w:r w:rsidRPr="008A1C17">
        <w:rPr>
          <w:rFonts w:asciiTheme="majorHAnsi" w:hAnsiTheme="majorHAnsi"/>
          <w:b/>
          <w:bCs/>
          <w:sz w:val="19"/>
          <w:szCs w:val="19"/>
        </w:rPr>
        <w:t xml:space="preserve">załącznik nr </w:t>
      </w:r>
      <w:r w:rsidR="00B87412">
        <w:rPr>
          <w:rFonts w:asciiTheme="majorHAnsi" w:hAnsiTheme="majorHAnsi"/>
          <w:b/>
          <w:bCs/>
          <w:sz w:val="19"/>
          <w:szCs w:val="19"/>
        </w:rPr>
        <w:t>4</w:t>
      </w:r>
      <w:r w:rsidRPr="008A1C17">
        <w:rPr>
          <w:rFonts w:asciiTheme="majorHAnsi" w:hAnsiTheme="majorHAnsi"/>
          <w:b/>
          <w:bCs/>
          <w:sz w:val="19"/>
          <w:szCs w:val="19"/>
        </w:rPr>
        <w:t xml:space="preserve"> do SWZ</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 xml:space="preserve">załączniku nr </w:t>
      </w:r>
      <w:r w:rsidR="00FD07DA">
        <w:rPr>
          <w:rFonts w:asciiTheme="majorHAnsi" w:hAnsiTheme="majorHAnsi" w:cs="Arial"/>
          <w:sz w:val="20"/>
          <w:szCs w:val="20"/>
        </w:rPr>
        <w:t>2</w:t>
      </w:r>
      <w:r w:rsidR="00550A8D">
        <w:rPr>
          <w:rFonts w:asciiTheme="majorHAnsi" w:hAnsiTheme="majorHAnsi" w:cs="Arial"/>
          <w:sz w:val="20"/>
          <w:szCs w:val="20"/>
        </w:rPr>
        <w:t xml:space="preserve">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lastRenderedPageBreak/>
        <w:t xml:space="preserve">Jeżeli w kraju, w którym Wykonawca ma siedzibę lub miejsce zamieszkania, nie wydaje się dokumentów,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xml:space="preserve">),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 xml:space="preserve">z wnioskiem o dopuszczenie do udziału w postępowaniu albo odpowiednio wraz z ofertą, </w:t>
      </w:r>
      <w:r w:rsidRPr="008768E7">
        <w:rPr>
          <w:rFonts w:asciiTheme="majorHAnsi" w:hAnsiTheme="majorHAnsi"/>
          <w:color w:val="000000"/>
          <w:spacing w:val="-1"/>
          <w:sz w:val="20"/>
          <w:szCs w:val="20"/>
        </w:rPr>
        <w:lastRenderedPageBreak/>
        <w:t>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w:t>
      </w:r>
      <w:r w:rsidRPr="00162B2A">
        <w:rPr>
          <w:rFonts w:asciiTheme="majorHAnsi" w:hAnsiTheme="majorHAnsi" w:cs="Arial"/>
          <w:sz w:val="20"/>
          <w:szCs w:val="20"/>
        </w:rPr>
        <w:lastRenderedPageBreak/>
        <w:t>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BF5A16" w:rsidRPr="00D62875" w:rsidRDefault="00BF5A16" w:rsidP="00E7483F">
      <w:pPr>
        <w:numPr>
          <w:ilvl w:val="0"/>
          <w:numId w:val="58"/>
        </w:numPr>
        <w:pBdr>
          <w:top w:val="nil"/>
          <w:left w:val="nil"/>
          <w:bottom w:val="nil"/>
          <w:right w:val="nil"/>
          <w:between w:val="nil"/>
        </w:pBdr>
        <w:tabs>
          <w:tab w:val="left" w:pos="284"/>
        </w:tabs>
        <w:spacing w:line="360" w:lineRule="auto"/>
        <w:jc w:val="both"/>
        <w:rPr>
          <w:rFonts w:asciiTheme="majorHAnsi" w:hAnsiTheme="majorHAnsi"/>
          <w:sz w:val="20"/>
          <w:szCs w:val="20"/>
        </w:rPr>
      </w:pPr>
      <w:r w:rsidRPr="00D62875">
        <w:rPr>
          <w:rFonts w:asciiTheme="majorHAnsi" w:hAnsiTheme="majorHAnsi"/>
          <w:sz w:val="20"/>
          <w:szCs w:val="20"/>
        </w:rPr>
        <w:t xml:space="preserve">Postępowanie prowadzone jest w języku polskim w formie elektronicznej za pośrednictwem </w:t>
      </w:r>
      <w:hyperlink r:id="rId17">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pod adresem: </w:t>
      </w:r>
      <w:r w:rsidR="008A5A77" w:rsidRPr="00D62875">
        <w:rPr>
          <w:rFonts w:asciiTheme="majorHAnsi" w:hAnsiTheme="majorHAnsi"/>
          <w:sz w:val="20"/>
          <w:szCs w:val="20"/>
        </w:rPr>
        <w:t xml:space="preserve"> </w:t>
      </w:r>
      <w:hyperlink r:id="rId18" w:history="1">
        <w:r w:rsidR="00E7483F" w:rsidRPr="00570BC6">
          <w:rPr>
            <w:rStyle w:val="Hipercze"/>
          </w:rPr>
          <w:t>https://platformazakupowa.pl/transakcja/635775</w:t>
        </w:r>
      </w:hyperlink>
      <w:r w:rsidR="00E7483F">
        <w:t xml:space="preserve"> </w:t>
      </w:r>
      <w:r w:rsidR="00D62875">
        <w:t xml:space="preserve"> </w:t>
      </w:r>
      <w:r w:rsidRPr="00D62875">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i formularza „</w:t>
      </w:r>
      <w:r w:rsidRPr="00D62875">
        <w:rPr>
          <w:rFonts w:asciiTheme="majorHAnsi" w:hAnsiTheme="majorHAnsi"/>
          <w:b/>
          <w:sz w:val="20"/>
          <w:szCs w:val="20"/>
        </w:rPr>
        <w:t>Wyślij wiadomość do zamawiającego</w:t>
      </w:r>
      <w:r w:rsidRPr="00D62875">
        <w:rPr>
          <w:rFonts w:asciiTheme="majorHAnsi" w:hAnsiTheme="majorHAnsi"/>
          <w:sz w:val="20"/>
          <w:szCs w:val="20"/>
        </w:rPr>
        <w:t xml:space="preserve">”. </w:t>
      </w:r>
    </w:p>
    <w:p w:rsidR="00BF5A16" w:rsidRPr="00636FB1" w:rsidRDefault="00BF5A16" w:rsidP="00FD07DA">
      <w:pPr>
        <w:spacing w:line="360" w:lineRule="auto"/>
        <w:ind w:left="284"/>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0">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6">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7">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0">
        <w:r>
          <w:rPr>
            <w:color w:val="1155CC"/>
            <w:sz w:val="20"/>
            <w:szCs w:val="20"/>
            <w:u w:val="single"/>
          </w:rPr>
          <w:t>platformazakupowa.pl</w:t>
        </w:r>
      </w:hyperlink>
      <w:r>
        <w:rPr>
          <w:sz w:val="20"/>
          <w:szCs w:val="20"/>
        </w:rPr>
        <w:t xml:space="preserve"> znajdują się w zakładce „Instrukcje dla Wykonawców" na stronie internetowej pod adresem: </w:t>
      </w:r>
      <w:hyperlink r:id="rId31">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2">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złożona przy użyciu środków komunikacji elektronicznej tzn. za pośrednictwem </w:t>
      </w:r>
      <w:hyperlink r:id="rId33">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4">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6">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7">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7049FD" w:rsidP="00B63274">
      <w:pPr>
        <w:spacing w:line="360" w:lineRule="auto"/>
        <w:ind w:left="720"/>
        <w:jc w:val="both"/>
        <w:rPr>
          <w:rFonts w:asciiTheme="majorHAnsi" w:hAnsiTheme="majorHAnsi"/>
          <w:sz w:val="20"/>
          <w:szCs w:val="20"/>
        </w:rPr>
      </w:pPr>
      <w:hyperlink r:id="rId38">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w:t>
      </w:r>
      <w:r w:rsidRPr="00CF1C49">
        <w:rPr>
          <w:rFonts w:asciiTheme="majorHAnsi" w:hAnsiTheme="majorHAnsi"/>
          <w:sz w:val="20"/>
          <w:szCs w:val="20"/>
        </w:rPr>
        <w:lastRenderedPageBreak/>
        <w:t>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lastRenderedPageBreak/>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006B0B37">
        <w:rPr>
          <w:rFonts w:asciiTheme="majorHAnsi" w:hAnsiTheme="majorHAnsi" w:cs="Arial"/>
          <w:b/>
          <w:sz w:val="20"/>
          <w:szCs w:val="20"/>
        </w:rPr>
        <w:t>.</w:t>
      </w:r>
      <w:r w:rsidRPr="00162B2A">
        <w:rPr>
          <w:rFonts w:asciiTheme="majorHAnsi" w:hAnsiTheme="majorHAnsi" w:cs="Arial"/>
          <w:sz w:val="20"/>
          <w:szCs w:val="20"/>
        </w:rPr>
        <w:t xml:space="preserve">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lastRenderedPageBreak/>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E7483F">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9">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0" w:history="1">
        <w:r w:rsidR="00E7483F" w:rsidRPr="00570BC6">
          <w:rPr>
            <w:rStyle w:val="Hipercze"/>
          </w:rPr>
          <w:t>https://platformazakupowa.pl/transakcja/635775</w:t>
        </w:r>
      </w:hyperlink>
      <w:r w:rsidR="00E7483F">
        <w:t xml:space="preserve"> </w:t>
      </w:r>
      <w:r w:rsidR="006A1E33">
        <w:t xml:space="preserve"> </w:t>
      </w:r>
      <w:r w:rsidR="00393C7E">
        <w:rPr>
          <w:rFonts w:asciiTheme="majorHAnsi" w:hAnsiTheme="majorHAnsi"/>
          <w:sz w:val="20"/>
          <w:szCs w:val="20"/>
        </w:rPr>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D36A96">
        <w:rPr>
          <w:rFonts w:asciiTheme="majorHAnsi" w:hAnsiTheme="majorHAnsi"/>
          <w:sz w:val="20"/>
          <w:szCs w:val="20"/>
          <w:highlight w:val="yellow"/>
        </w:rPr>
        <w:t>12</w:t>
      </w:r>
      <w:r w:rsidR="00D36A96" w:rsidRPr="003950D9">
        <w:rPr>
          <w:rFonts w:asciiTheme="majorHAnsi" w:hAnsiTheme="majorHAnsi"/>
          <w:sz w:val="20"/>
          <w:szCs w:val="20"/>
          <w:highlight w:val="yellow"/>
        </w:rPr>
        <w:t>.</w:t>
      </w:r>
      <w:r w:rsidR="00D36A96">
        <w:rPr>
          <w:rFonts w:asciiTheme="majorHAnsi" w:hAnsiTheme="majorHAnsi"/>
          <w:sz w:val="20"/>
          <w:szCs w:val="20"/>
          <w:highlight w:val="yellow"/>
        </w:rPr>
        <w:t>07</w:t>
      </w:r>
      <w:r w:rsidR="00D36A96" w:rsidRPr="003950D9">
        <w:rPr>
          <w:rFonts w:asciiTheme="majorHAnsi" w:hAnsiTheme="majorHAnsi"/>
          <w:sz w:val="20"/>
          <w:szCs w:val="20"/>
          <w:highlight w:val="yellow"/>
        </w:rPr>
        <w:t>.202</w:t>
      </w:r>
      <w:r w:rsidR="00D36A96">
        <w:rPr>
          <w:rFonts w:asciiTheme="majorHAnsi" w:hAnsiTheme="majorHAnsi"/>
          <w:sz w:val="20"/>
          <w:szCs w:val="20"/>
          <w:highlight w:val="yellow"/>
        </w:rPr>
        <w:t>2</w:t>
      </w:r>
      <w:r w:rsidRPr="003950D9">
        <w:rPr>
          <w:rFonts w:asciiTheme="majorHAnsi" w:hAnsiTheme="majorHAnsi"/>
          <w:sz w:val="20"/>
          <w:szCs w:val="20"/>
          <w:highlight w:val="yellow"/>
        </w:rPr>
        <w:t xml:space="preserve"> do godziny </w:t>
      </w:r>
      <w:r w:rsidR="00613629" w:rsidRPr="003950D9">
        <w:rPr>
          <w:rFonts w:asciiTheme="majorHAnsi" w:hAnsiTheme="majorHAnsi"/>
          <w:sz w:val="20"/>
          <w:szCs w:val="20"/>
          <w:highlight w:val="yellow"/>
        </w:rPr>
        <w:t>11:00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bookmarkStart w:id="4" w:name="_GoBack"/>
      <w:bookmarkEnd w:id="4"/>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2">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3">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D36A96">
        <w:rPr>
          <w:rFonts w:asciiTheme="majorHAnsi" w:hAnsiTheme="majorHAnsi"/>
          <w:sz w:val="20"/>
          <w:szCs w:val="20"/>
          <w:highlight w:val="yellow"/>
        </w:rPr>
        <w:t>12</w:t>
      </w:r>
      <w:r w:rsidRPr="003950D9">
        <w:rPr>
          <w:rFonts w:asciiTheme="majorHAnsi" w:hAnsiTheme="majorHAnsi"/>
          <w:sz w:val="20"/>
          <w:szCs w:val="20"/>
          <w:highlight w:val="yellow"/>
        </w:rPr>
        <w:t>.</w:t>
      </w:r>
      <w:r w:rsidR="00D36A96">
        <w:rPr>
          <w:rFonts w:asciiTheme="majorHAnsi" w:hAnsiTheme="majorHAnsi"/>
          <w:sz w:val="20"/>
          <w:szCs w:val="20"/>
          <w:highlight w:val="yellow"/>
        </w:rPr>
        <w:t>07</w:t>
      </w:r>
      <w:r w:rsidRPr="003950D9">
        <w:rPr>
          <w:rFonts w:asciiTheme="majorHAnsi" w:hAnsiTheme="majorHAnsi"/>
          <w:sz w:val="20"/>
          <w:szCs w:val="20"/>
          <w:highlight w:val="yellow"/>
        </w:rPr>
        <w:t>.202</w:t>
      </w:r>
      <w:r w:rsidR="00D36A96">
        <w:rPr>
          <w:rFonts w:asciiTheme="majorHAnsi" w:hAnsiTheme="majorHAnsi"/>
          <w:sz w:val="20"/>
          <w:szCs w:val="20"/>
          <w:highlight w:val="yellow"/>
        </w:rPr>
        <w:t>2</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w:t>
      </w:r>
      <w:r w:rsidRPr="00551602">
        <w:rPr>
          <w:rFonts w:asciiTheme="majorHAnsi" w:hAnsiTheme="majorHAnsi"/>
          <w:sz w:val="20"/>
          <w:szCs w:val="20"/>
          <w:highlight w:val="yellow"/>
        </w:rPr>
        <w:t>godziny 11:</w:t>
      </w:r>
      <w:r w:rsidR="006755BC" w:rsidRPr="00551602">
        <w:rPr>
          <w:rFonts w:asciiTheme="majorHAnsi" w:hAnsiTheme="majorHAnsi"/>
          <w:sz w:val="20"/>
          <w:szCs w:val="20"/>
          <w:highlight w:val="yellow"/>
        </w:rPr>
        <w:t>05</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lastRenderedPageBreak/>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4">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7029ED" w:rsidRDefault="007029ED" w:rsidP="003147F0">
      <w:pPr>
        <w:pStyle w:val="Tekstpodstawowy3"/>
        <w:spacing w:line="360" w:lineRule="auto"/>
        <w:jc w:val="both"/>
        <w:rPr>
          <w:rFonts w:asciiTheme="majorHAnsi" w:hAnsiTheme="majorHAnsi" w:cs="Arial"/>
          <w:sz w:val="20"/>
          <w:szCs w:val="20"/>
        </w:rPr>
      </w:pPr>
    </w:p>
    <w:p w:rsidR="00514186" w:rsidRPr="00DC20C9" w:rsidRDefault="00514186" w:rsidP="00DC20C9">
      <w:pPr>
        <w:pStyle w:val="Akapitzlist"/>
        <w:shd w:val="clear" w:color="auto" w:fill="FFFF00"/>
        <w:spacing w:line="360" w:lineRule="auto"/>
        <w:ind w:left="345"/>
        <w:jc w:val="both"/>
        <w:rPr>
          <w:rFonts w:ascii="Cambria" w:hAnsi="Cambria" w:cs="Arial"/>
          <w:b/>
          <w:sz w:val="20"/>
          <w:szCs w:val="20"/>
          <w:u w:val="single"/>
        </w:rPr>
      </w:pPr>
      <w:r w:rsidRPr="00DC20C9">
        <w:rPr>
          <w:rFonts w:ascii="Cambria" w:hAnsi="Cambria" w:cs="Arial"/>
          <w:b/>
          <w:sz w:val="20"/>
          <w:szCs w:val="20"/>
          <w:u w:val="single"/>
        </w:rPr>
        <w:t>Cena – 85 %</w:t>
      </w:r>
    </w:p>
    <w:p w:rsidR="00514186" w:rsidRPr="00E04BC0" w:rsidRDefault="00514186" w:rsidP="00514186">
      <w:pPr>
        <w:pStyle w:val="Nagwek6"/>
        <w:tabs>
          <w:tab w:val="left" w:pos="2835"/>
        </w:tabs>
        <w:spacing w:line="360" w:lineRule="auto"/>
        <w:ind w:left="345"/>
        <w:rPr>
          <w:rFonts w:ascii="Cambria" w:hAnsi="Cambria" w:cs="Arial"/>
          <w:color w:val="auto"/>
          <w:sz w:val="20"/>
          <w:szCs w:val="20"/>
        </w:rPr>
      </w:pPr>
      <w:r w:rsidRPr="00E04BC0">
        <w:rPr>
          <w:rFonts w:ascii="Cambria" w:hAnsi="Cambria" w:cs="Arial"/>
          <w:color w:val="auto"/>
          <w:sz w:val="20"/>
          <w:szCs w:val="20"/>
        </w:rPr>
        <w:t xml:space="preserve">                         Oferowana cena minimalna</w:t>
      </w:r>
    </w:p>
    <w:p w:rsidR="00514186" w:rsidRPr="00514186" w:rsidRDefault="00514186" w:rsidP="00514186">
      <w:pPr>
        <w:spacing w:line="360" w:lineRule="auto"/>
        <w:ind w:left="345"/>
        <w:rPr>
          <w:rFonts w:ascii="Cambria" w:hAnsi="Cambria" w:cs="Arial"/>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w:t>
      </w:r>
    </w:p>
    <w:p w:rsidR="00514186" w:rsidRPr="00E04BC0" w:rsidRDefault="00514186" w:rsidP="00514186">
      <w:pPr>
        <w:tabs>
          <w:tab w:val="left" w:pos="284"/>
          <w:tab w:val="left" w:pos="1276"/>
        </w:tabs>
        <w:spacing w:line="360" w:lineRule="auto"/>
        <w:ind w:left="345"/>
        <w:jc w:val="both"/>
        <w:rPr>
          <w:rFonts w:ascii="Cambria" w:hAnsi="Cambria" w:cs="Arial"/>
          <w:sz w:val="20"/>
          <w:szCs w:val="20"/>
        </w:rPr>
      </w:pPr>
      <w:r w:rsidRPr="00E04BC0">
        <w:rPr>
          <w:rFonts w:ascii="Cambria" w:hAnsi="Cambria" w:cs="Arial"/>
          <w:sz w:val="20"/>
          <w:szCs w:val="20"/>
        </w:rPr>
        <w:t xml:space="preserve">                       Cena badanej oferty</w:t>
      </w:r>
    </w:p>
    <w:p w:rsidR="00514186" w:rsidRPr="00514186" w:rsidRDefault="00514186" w:rsidP="00514186">
      <w:pPr>
        <w:tabs>
          <w:tab w:val="left" w:pos="284"/>
          <w:tab w:val="left" w:pos="1276"/>
        </w:tabs>
        <w:spacing w:line="360" w:lineRule="auto"/>
        <w:ind w:left="345"/>
        <w:jc w:val="both"/>
        <w:rPr>
          <w:rFonts w:ascii="Cambria" w:hAnsi="Cambria" w:cs="Arial"/>
          <w:b/>
          <w:sz w:val="20"/>
          <w:szCs w:val="20"/>
        </w:rPr>
      </w:pPr>
    </w:p>
    <w:p w:rsidR="00514186" w:rsidRPr="00514186" w:rsidRDefault="00514186" w:rsidP="00514186">
      <w:pPr>
        <w:shd w:val="clear" w:color="auto" w:fill="FFFF00"/>
        <w:spacing w:line="360" w:lineRule="auto"/>
        <w:ind w:left="345"/>
        <w:jc w:val="both"/>
        <w:rPr>
          <w:rFonts w:ascii="Cambria" w:hAnsi="Cambria" w:cs="Arial"/>
          <w:b/>
          <w:sz w:val="20"/>
          <w:szCs w:val="20"/>
          <w:u w:val="single"/>
        </w:rPr>
      </w:pPr>
      <w:r w:rsidRPr="00514186">
        <w:rPr>
          <w:rFonts w:ascii="Cambria" w:hAnsi="Cambria" w:cs="Arial"/>
          <w:b/>
          <w:sz w:val="20"/>
          <w:szCs w:val="20"/>
          <w:u w:val="single"/>
        </w:rPr>
        <w:t>Ocena stosowanej technologii prania – 10 %</w:t>
      </w:r>
    </w:p>
    <w:p w:rsidR="00514186" w:rsidRPr="00514186" w:rsidRDefault="00514186" w:rsidP="00514186">
      <w:pPr>
        <w:pStyle w:val="Nagwek6"/>
        <w:tabs>
          <w:tab w:val="left" w:pos="2835"/>
        </w:tabs>
        <w:spacing w:line="360" w:lineRule="auto"/>
        <w:ind w:left="345"/>
        <w:rPr>
          <w:rFonts w:ascii="Cambria" w:hAnsi="Cambria" w:cs="Arial"/>
          <w:sz w:val="20"/>
          <w:szCs w:val="20"/>
        </w:rPr>
      </w:pPr>
      <w:r w:rsidRPr="00514186">
        <w:rPr>
          <w:rFonts w:ascii="Cambria" w:hAnsi="Cambria" w:cs="Arial"/>
          <w:sz w:val="20"/>
          <w:szCs w:val="20"/>
        </w:rPr>
        <w:t xml:space="preserve">                  </w:t>
      </w:r>
      <w:r w:rsidRPr="00E04BC0">
        <w:rPr>
          <w:rFonts w:ascii="Cambria" w:hAnsi="Cambria" w:cs="Arial"/>
          <w:color w:val="auto"/>
          <w:sz w:val="20"/>
          <w:szCs w:val="20"/>
        </w:rPr>
        <w:t>Liczba punktów przyznana ofercie</w:t>
      </w:r>
    </w:p>
    <w:p w:rsidR="00514186" w:rsidRPr="00514186" w:rsidRDefault="00514186" w:rsidP="00514186">
      <w:pPr>
        <w:spacing w:line="360" w:lineRule="auto"/>
        <w:ind w:left="1134" w:hanging="789"/>
        <w:rPr>
          <w:rFonts w:ascii="Cambria" w:hAnsi="Cambria" w:cs="Arial"/>
          <w:b/>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                            </w:t>
      </w:r>
      <w:r>
        <w:rPr>
          <w:rFonts w:ascii="Cambria" w:hAnsi="Cambria" w:cs="Arial"/>
          <w:sz w:val="20"/>
          <w:szCs w:val="20"/>
        </w:rPr>
        <w:t xml:space="preserve">                                </w:t>
      </w:r>
      <w:r w:rsidRPr="00514186">
        <w:rPr>
          <w:rFonts w:ascii="Cambria" w:hAnsi="Cambria" w:cs="Arial"/>
          <w:i/>
          <w:sz w:val="20"/>
          <w:szCs w:val="20"/>
        </w:rPr>
        <w:t>Maksymalna liczba przyznanych punktów</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Kryterium: ocena stosowanej technologii prania będzie podlegało indywidualnej ocenie członków Komisji.</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 xml:space="preserve">Po zapoznaniu się z opisem technologii prania w zakładzie Wykonawcy (który będzie jednym </w:t>
      </w:r>
      <w:r w:rsidR="00DC20C9">
        <w:rPr>
          <w:rFonts w:ascii="Cambria" w:hAnsi="Cambria" w:cs="Arial"/>
          <w:sz w:val="20"/>
          <w:szCs w:val="20"/>
        </w:rPr>
        <w:t xml:space="preserve">                         </w:t>
      </w:r>
      <w:r w:rsidRPr="00514186">
        <w:rPr>
          <w:rFonts w:ascii="Cambria" w:hAnsi="Cambria" w:cs="Arial"/>
          <w:sz w:val="20"/>
          <w:szCs w:val="20"/>
        </w:rPr>
        <w:t xml:space="preserve">z załączników każdej oferty). Komisja będzie oceniała  elementy technologii, które  mogą być zagrożeniem dla jakości i stanu wizualnego bielizny i odzieży po przejściu całego procesu prania. Członkowie komisji na co dzień osoby odpowiedzialne za zapatrzenie jakościowe pacjentów </w:t>
      </w:r>
      <w:r w:rsidR="00DC20C9">
        <w:rPr>
          <w:rFonts w:ascii="Cambria" w:hAnsi="Cambria" w:cs="Arial"/>
          <w:sz w:val="20"/>
          <w:szCs w:val="20"/>
        </w:rPr>
        <w:t xml:space="preserve">                             </w:t>
      </w:r>
      <w:r w:rsidRPr="00514186">
        <w:rPr>
          <w:rFonts w:ascii="Cambria" w:hAnsi="Cambria" w:cs="Arial"/>
          <w:sz w:val="20"/>
          <w:szCs w:val="20"/>
        </w:rPr>
        <w:t>w wypraną  bieliznę i odzież w zakładzie Zamawiającego, będą mogły wykorzystają doświadczenie lat poprzednich gdzie Wykonawcy stosowali różne technologie z różnym skutkiem jakościowym dla wypranej bielizny i odzieży Zamawiającego; który jest asortymentem dość specyficznym. Do punktacji kryterium, będą brane pod uwagę sumy punktów przyznane przez członków komisji, które zostaną podstawione do powyższego wzoru</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Skala punktowa oceny:</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lastRenderedPageBreak/>
        <w:t>Średnio przyjazna technologia</w:t>
      </w:r>
      <w:r w:rsidRPr="00514186">
        <w:rPr>
          <w:rFonts w:ascii="Cambria" w:hAnsi="Cambria" w:cs="Arial"/>
          <w:sz w:val="20"/>
          <w:szCs w:val="20"/>
        </w:rPr>
        <w:tab/>
      </w:r>
      <w:r w:rsidRPr="00514186">
        <w:rPr>
          <w:rFonts w:ascii="Cambria" w:hAnsi="Cambria" w:cs="Arial"/>
          <w:sz w:val="20"/>
          <w:szCs w:val="20"/>
        </w:rPr>
        <w:tab/>
      </w:r>
      <w:r w:rsidRPr="00514186">
        <w:rPr>
          <w:rFonts w:ascii="Cambria" w:hAnsi="Cambria" w:cs="Arial"/>
          <w:sz w:val="20"/>
          <w:szCs w:val="20"/>
        </w:rPr>
        <w:tab/>
        <w:t>– 1 pkt.</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Wysoko przyjazna technologia</w:t>
      </w:r>
      <w:r w:rsidRPr="00514186">
        <w:rPr>
          <w:rFonts w:ascii="Cambria" w:hAnsi="Cambria" w:cs="Arial"/>
          <w:sz w:val="20"/>
          <w:szCs w:val="20"/>
        </w:rPr>
        <w:tab/>
      </w:r>
      <w:r w:rsidRPr="00514186">
        <w:rPr>
          <w:rFonts w:ascii="Cambria" w:hAnsi="Cambria" w:cs="Arial"/>
          <w:sz w:val="20"/>
          <w:szCs w:val="20"/>
        </w:rPr>
        <w:tab/>
      </w:r>
      <w:r w:rsidRPr="00514186">
        <w:rPr>
          <w:rFonts w:ascii="Cambria" w:hAnsi="Cambria" w:cs="Arial"/>
          <w:sz w:val="20"/>
          <w:szCs w:val="20"/>
        </w:rPr>
        <w:tab/>
        <w:t>– 2 pkt</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Bardzo wysoko przyjazna technologia</w:t>
      </w:r>
      <w:r w:rsidRPr="00514186">
        <w:rPr>
          <w:rFonts w:ascii="Cambria" w:hAnsi="Cambria" w:cs="Arial"/>
          <w:sz w:val="20"/>
          <w:szCs w:val="20"/>
        </w:rPr>
        <w:tab/>
        <w:t xml:space="preserve"> </w:t>
      </w:r>
      <w:r w:rsidRPr="00514186">
        <w:rPr>
          <w:rFonts w:ascii="Cambria" w:hAnsi="Cambria" w:cs="Arial"/>
          <w:sz w:val="20"/>
          <w:szCs w:val="20"/>
        </w:rPr>
        <w:tab/>
        <w:t>– 3 pkt.</w:t>
      </w:r>
    </w:p>
    <w:p w:rsidR="00514186" w:rsidRPr="00514186" w:rsidRDefault="00514186" w:rsidP="00514186">
      <w:pPr>
        <w:tabs>
          <w:tab w:val="left" w:pos="284"/>
          <w:tab w:val="left" w:pos="1276"/>
        </w:tabs>
        <w:spacing w:line="360" w:lineRule="auto"/>
        <w:ind w:left="345"/>
        <w:jc w:val="both"/>
        <w:rPr>
          <w:rFonts w:ascii="Cambria" w:hAnsi="Cambria" w:cs="Arial"/>
          <w:b/>
          <w:sz w:val="20"/>
          <w:szCs w:val="20"/>
        </w:rPr>
      </w:pPr>
    </w:p>
    <w:p w:rsidR="00514186" w:rsidRPr="00514186" w:rsidRDefault="00514186" w:rsidP="00514186">
      <w:pPr>
        <w:shd w:val="clear" w:color="auto" w:fill="FFFF00"/>
        <w:spacing w:line="360" w:lineRule="auto"/>
        <w:ind w:left="345"/>
        <w:jc w:val="both"/>
        <w:rPr>
          <w:rFonts w:ascii="Cambria" w:hAnsi="Cambria" w:cs="Arial"/>
          <w:b/>
          <w:sz w:val="20"/>
          <w:szCs w:val="20"/>
          <w:u w:val="single"/>
        </w:rPr>
      </w:pPr>
      <w:r w:rsidRPr="00514186">
        <w:rPr>
          <w:rFonts w:ascii="Cambria" w:hAnsi="Cambria" w:cs="Arial"/>
          <w:b/>
          <w:sz w:val="20"/>
          <w:szCs w:val="20"/>
          <w:u w:val="single"/>
        </w:rPr>
        <w:t>Termin rozpatrzenia reklamacji z tytułu utraty lub uszkodzenie bielizny – 5 %</w:t>
      </w:r>
    </w:p>
    <w:p w:rsidR="00514186" w:rsidRPr="00514186" w:rsidRDefault="00514186" w:rsidP="00514186">
      <w:pPr>
        <w:pStyle w:val="Nagwek6"/>
        <w:tabs>
          <w:tab w:val="left" w:pos="2835"/>
        </w:tabs>
        <w:spacing w:line="360" w:lineRule="auto"/>
        <w:ind w:left="345"/>
        <w:rPr>
          <w:rFonts w:ascii="Cambria" w:hAnsi="Cambria" w:cs="Arial"/>
          <w:sz w:val="20"/>
          <w:szCs w:val="20"/>
        </w:rPr>
      </w:pPr>
      <w:r w:rsidRPr="00514186">
        <w:rPr>
          <w:rFonts w:ascii="Cambria" w:hAnsi="Cambria" w:cs="Arial"/>
          <w:sz w:val="20"/>
          <w:szCs w:val="20"/>
        </w:rPr>
        <w:t xml:space="preserve">                   </w:t>
      </w:r>
      <w:r w:rsidRPr="00AD1B26">
        <w:rPr>
          <w:rFonts w:ascii="Cambria" w:hAnsi="Cambria" w:cs="Arial"/>
          <w:color w:val="auto"/>
          <w:sz w:val="20"/>
          <w:szCs w:val="20"/>
        </w:rPr>
        <w:t>Oferowana  minimalna ilość dni</w:t>
      </w:r>
    </w:p>
    <w:p w:rsidR="00514186" w:rsidRPr="00514186" w:rsidRDefault="00514186" w:rsidP="00514186">
      <w:pPr>
        <w:spacing w:line="360" w:lineRule="auto"/>
        <w:ind w:left="345"/>
        <w:rPr>
          <w:rFonts w:ascii="Cambria" w:hAnsi="Cambria" w:cs="Arial"/>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w:t>
      </w:r>
    </w:p>
    <w:p w:rsidR="00514186" w:rsidRPr="00AD1B26" w:rsidRDefault="00514186" w:rsidP="00514186">
      <w:pPr>
        <w:tabs>
          <w:tab w:val="left" w:pos="284"/>
          <w:tab w:val="left" w:pos="1276"/>
        </w:tabs>
        <w:spacing w:line="360" w:lineRule="auto"/>
        <w:ind w:left="345"/>
        <w:jc w:val="both"/>
        <w:rPr>
          <w:rFonts w:ascii="Cambria" w:hAnsi="Cambria" w:cs="Arial"/>
          <w:i/>
          <w:sz w:val="20"/>
          <w:szCs w:val="20"/>
        </w:rPr>
      </w:pPr>
      <w:r w:rsidRPr="00AD1B26">
        <w:rPr>
          <w:rFonts w:ascii="Cambria" w:hAnsi="Cambria" w:cs="Arial"/>
          <w:sz w:val="20"/>
          <w:szCs w:val="20"/>
        </w:rPr>
        <w:t xml:space="preserve">                       </w:t>
      </w:r>
      <w:r w:rsidRPr="00AD1B26">
        <w:rPr>
          <w:rFonts w:ascii="Cambria" w:hAnsi="Cambria" w:cs="Arial"/>
          <w:i/>
          <w:sz w:val="20"/>
          <w:szCs w:val="20"/>
        </w:rPr>
        <w:t>Ilość dni badanej oferty</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Pr="00162B2A" w:rsidRDefault="007029ED" w:rsidP="003147F0">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sidR="00AD1B26">
        <w:rPr>
          <w:rFonts w:asciiTheme="majorHAnsi" w:hAnsiTheme="majorHAnsi" w:cs="Arial"/>
          <w:b/>
          <w:sz w:val="20"/>
          <w:szCs w:val="20"/>
        </w:rPr>
        <w:t>5</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sidR="00AD1B26">
        <w:rPr>
          <w:rFonts w:asciiTheme="majorHAnsi" w:hAnsiTheme="majorHAnsi" w:cs="Arial"/>
          <w:b/>
          <w:sz w:val="20"/>
          <w:szCs w:val="20"/>
        </w:rPr>
        <w:t>5</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lastRenderedPageBreak/>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w:t>
      </w:r>
      <w:r w:rsidRPr="00162B2A">
        <w:rPr>
          <w:rFonts w:asciiTheme="majorHAnsi" w:hAnsiTheme="majorHAnsi" w:cs="Arial"/>
          <w:sz w:val="20"/>
          <w:szCs w:val="20"/>
        </w:rPr>
        <w:lastRenderedPageBreak/>
        <w:t>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5A241C">
        <w:rPr>
          <w:rFonts w:asciiTheme="majorHAnsi" w:hAnsiTheme="majorHAnsi" w:cs="Arial"/>
          <w:sz w:val="20"/>
          <w:szCs w:val="20"/>
        </w:rPr>
        <w:t>2</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Oświadczenie dotyczące przynależności lub braku przynależności do tej samej grupy kapitałowej – załącznik nr </w:t>
      </w:r>
      <w:r w:rsidR="005A241C">
        <w:rPr>
          <w:rFonts w:asciiTheme="majorHAnsi" w:hAnsiTheme="majorHAnsi" w:cs="Arial"/>
          <w:sz w:val="20"/>
          <w:szCs w:val="20"/>
        </w:rPr>
        <w:t>3</w:t>
      </w:r>
    </w:p>
    <w:p w:rsidR="005A241C" w:rsidRDefault="005A241C"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 xml:space="preserve">Wykaz usług </w:t>
      </w:r>
      <w:r w:rsidRPr="00162B2A">
        <w:rPr>
          <w:rFonts w:asciiTheme="majorHAnsi" w:hAnsiTheme="majorHAnsi" w:cs="Arial"/>
          <w:sz w:val="20"/>
          <w:szCs w:val="20"/>
        </w:rPr>
        <w:t xml:space="preserve">– załącznik nr </w:t>
      </w:r>
      <w:r w:rsidR="003E7112">
        <w:rPr>
          <w:rFonts w:asciiTheme="majorHAnsi" w:hAnsiTheme="majorHAnsi" w:cs="Arial"/>
          <w:sz w:val="20"/>
          <w:szCs w:val="20"/>
        </w:rPr>
        <w:t>4</w:t>
      </w:r>
    </w:p>
    <w:p w:rsidR="001528EB" w:rsidRPr="00162B2A" w:rsidRDefault="001528EB"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Wzór umowy – załącznik nr </w:t>
      </w:r>
      <w:r w:rsidR="003E7112">
        <w:rPr>
          <w:rFonts w:asciiTheme="majorHAnsi" w:hAnsiTheme="majorHAnsi" w:cs="Arial"/>
          <w:sz w:val="20"/>
          <w:szCs w:val="20"/>
        </w:rPr>
        <w:t>5</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FD" w:rsidRDefault="007049FD">
      <w:r>
        <w:separator/>
      </w:r>
    </w:p>
  </w:endnote>
  <w:endnote w:type="continuationSeparator" w:id="0">
    <w:p w:rsidR="007049FD" w:rsidRDefault="0070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charset w:val="EE"/>
    <w:family w:val="auto"/>
    <w:pitch w:val="variable"/>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193A8C" w:rsidRDefault="00193A8C"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E7483F" w:rsidRPr="00E7483F">
          <w:rPr>
            <w:b/>
            <w:bCs/>
            <w:noProof/>
          </w:rPr>
          <w:t>18</w:t>
        </w:r>
        <w:r>
          <w:rPr>
            <w:b/>
            <w:bCs/>
          </w:rPr>
          <w:fldChar w:fldCharType="end"/>
        </w:r>
        <w:r>
          <w:rPr>
            <w:b/>
            <w:bCs/>
          </w:rPr>
          <w:t xml:space="preserve"> | </w:t>
        </w:r>
        <w:r>
          <w:rPr>
            <w:color w:val="808080" w:themeColor="background1" w:themeShade="80"/>
            <w:spacing w:val="60"/>
          </w:rPr>
          <w:t>Strona</w:t>
        </w:r>
      </w:p>
    </w:sdtContent>
  </w:sdt>
  <w:p w:rsidR="00193A8C" w:rsidRPr="00162B2A" w:rsidRDefault="00193A8C"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FD" w:rsidRDefault="007049FD">
      <w:r>
        <w:separator/>
      </w:r>
    </w:p>
  </w:footnote>
  <w:footnote w:type="continuationSeparator" w:id="0">
    <w:p w:rsidR="007049FD" w:rsidRDefault="00704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8C" w:rsidRDefault="00193A8C"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193A8C" w:rsidRDefault="00193A8C"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7075A04"/>
    <w:multiLevelType w:val="multilevel"/>
    <w:tmpl w:val="B9360638"/>
    <w:lvl w:ilvl="0">
      <w:start w:val="1"/>
      <w:numFmt w:val="decimal"/>
      <w:lvlText w:val="%1."/>
      <w:lvlJc w:val="left"/>
      <w:pPr>
        <w:tabs>
          <w:tab w:val="num" w:pos="720"/>
        </w:tabs>
        <w:ind w:left="720" w:hanging="360"/>
      </w:pPr>
      <w:rPr>
        <w:rFonts w:asciiTheme="majorHAnsi" w:hAnsiTheme="maj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nsid w:val="0BFA23E7"/>
    <w:multiLevelType w:val="hybridMultilevel"/>
    <w:tmpl w:val="345296F0"/>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3">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6">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9">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2">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6">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7">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FCF38E9"/>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8">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3">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6">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9">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62">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4">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71">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2">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7"/>
  </w:num>
  <w:num w:numId="5">
    <w:abstractNumId w:val="45"/>
  </w:num>
  <w:num w:numId="6">
    <w:abstractNumId w:val="65"/>
  </w:num>
  <w:num w:numId="7">
    <w:abstractNumId w:val="9"/>
  </w:num>
  <w:num w:numId="8">
    <w:abstractNumId w:val="27"/>
  </w:num>
  <w:num w:numId="9">
    <w:abstractNumId w:val="20"/>
  </w:num>
  <w:num w:numId="10">
    <w:abstractNumId w:val="29"/>
  </w:num>
  <w:num w:numId="11">
    <w:abstractNumId w:val="11"/>
  </w:num>
  <w:num w:numId="12">
    <w:abstractNumId w:val="57"/>
  </w:num>
  <w:num w:numId="13">
    <w:abstractNumId w:val="54"/>
    <w:lvlOverride w:ilvl="0">
      <w:startOverride w:val="1"/>
    </w:lvlOverride>
  </w:num>
  <w:num w:numId="14">
    <w:abstractNumId w:val="43"/>
    <w:lvlOverride w:ilvl="0">
      <w:startOverride w:val="1"/>
    </w:lvlOverride>
  </w:num>
  <w:num w:numId="15">
    <w:abstractNumId w:val="26"/>
  </w:num>
  <w:num w:numId="16">
    <w:abstractNumId w:val="13"/>
  </w:num>
  <w:num w:numId="17">
    <w:abstractNumId w:val="56"/>
  </w:num>
  <w:num w:numId="18">
    <w:abstractNumId w:val="28"/>
  </w:num>
  <w:num w:numId="19">
    <w:abstractNumId w:val="32"/>
  </w:num>
  <w:num w:numId="20">
    <w:abstractNumId w:val="30"/>
  </w:num>
  <w:num w:numId="21">
    <w:abstractNumId w:val="58"/>
  </w:num>
  <w:num w:numId="22">
    <w:abstractNumId w:val="19"/>
  </w:num>
  <w:num w:numId="23">
    <w:abstractNumId w:val="49"/>
  </w:num>
  <w:num w:numId="24">
    <w:abstractNumId w:val="6"/>
  </w:num>
  <w:num w:numId="25">
    <w:abstractNumId w:val="59"/>
  </w:num>
  <w:num w:numId="26">
    <w:abstractNumId w:val="50"/>
  </w:num>
  <w:num w:numId="27">
    <w:abstractNumId w:val="60"/>
  </w:num>
  <w:num w:numId="28">
    <w:abstractNumId w:val="22"/>
  </w:num>
  <w:num w:numId="29">
    <w:abstractNumId w:val="39"/>
  </w:num>
  <w:num w:numId="30">
    <w:abstractNumId w:val="42"/>
  </w:num>
  <w:num w:numId="31">
    <w:abstractNumId w:val="71"/>
  </w:num>
  <w:num w:numId="32">
    <w:abstractNumId w:val="10"/>
  </w:num>
  <w:num w:numId="33">
    <w:abstractNumId w:val="16"/>
  </w:num>
  <w:num w:numId="34">
    <w:abstractNumId w:val="3"/>
  </w:num>
  <w:num w:numId="35">
    <w:abstractNumId w:val="62"/>
  </w:num>
  <w:num w:numId="36">
    <w:abstractNumId w:val="7"/>
  </w:num>
  <w:num w:numId="37">
    <w:abstractNumId w:val="55"/>
  </w:num>
  <w:num w:numId="38">
    <w:abstractNumId w:val="15"/>
  </w:num>
  <w:num w:numId="39">
    <w:abstractNumId w:val="37"/>
  </w:num>
  <w:num w:numId="40">
    <w:abstractNumId w:val="68"/>
  </w:num>
  <w:num w:numId="41">
    <w:abstractNumId w:val="17"/>
  </w:num>
  <w:num w:numId="42">
    <w:abstractNumId w:val="35"/>
  </w:num>
  <w:num w:numId="43">
    <w:abstractNumId w:val="36"/>
  </w:num>
  <w:num w:numId="44">
    <w:abstractNumId w:val="18"/>
  </w:num>
  <w:num w:numId="45">
    <w:abstractNumId w:val="5"/>
  </w:num>
  <w:num w:numId="46">
    <w:abstractNumId w:val="72"/>
  </w:num>
  <w:num w:numId="47">
    <w:abstractNumId w:val="66"/>
  </w:num>
  <w:num w:numId="48">
    <w:abstractNumId w:val="4"/>
  </w:num>
  <w:num w:numId="49">
    <w:abstractNumId w:val="44"/>
  </w:num>
  <w:num w:numId="50">
    <w:abstractNumId w:val="51"/>
  </w:num>
  <w:num w:numId="51">
    <w:abstractNumId w:val="47"/>
  </w:num>
  <w:num w:numId="52">
    <w:abstractNumId w:val="38"/>
  </w:num>
  <w:num w:numId="53">
    <w:abstractNumId w:val="64"/>
  </w:num>
  <w:num w:numId="54">
    <w:abstractNumId w:val="34"/>
  </w:num>
  <w:num w:numId="55">
    <w:abstractNumId w:val="21"/>
  </w:num>
  <w:num w:numId="56">
    <w:abstractNumId w:val="33"/>
  </w:num>
  <w:num w:numId="57">
    <w:abstractNumId w:val="31"/>
  </w:num>
  <w:num w:numId="58">
    <w:abstractNumId w:val="24"/>
  </w:num>
  <w:num w:numId="59">
    <w:abstractNumId w:val="69"/>
  </w:num>
  <w:num w:numId="60">
    <w:abstractNumId w:val="48"/>
  </w:num>
  <w:num w:numId="61">
    <w:abstractNumId w:val="14"/>
  </w:num>
  <w:num w:numId="62">
    <w:abstractNumId w:val="52"/>
  </w:num>
  <w:num w:numId="63">
    <w:abstractNumId w:val="41"/>
  </w:num>
  <w:num w:numId="64">
    <w:abstractNumId w:val="53"/>
  </w:num>
  <w:num w:numId="65">
    <w:abstractNumId w:val="70"/>
  </w:num>
  <w:num w:numId="66">
    <w:abstractNumId w:val="23"/>
  </w:num>
  <w:num w:numId="67">
    <w:abstractNumId w:val="46"/>
  </w:num>
  <w:num w:numId="68">
    <w:abstractNumId w:val="63"/>
  </w:num>
  <w:num w:numId="69">
    <w:abstractNumId w:val="25"/>
  </w:num>
  <w:num w:numId="70">
    <w:abstractNumId w:val="61"/>
  </w:num>
  <w:num w:numId="71">
    <w:abstractNumId w:val="40"/>
  </w:num>
  <w:num w:numId="72">
    <w:abstractNumId w:val="12"/>
  </w:num>
  <w:num w:numId="7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76EF"/>
    <w:rsid w:val="00046720"/>
    <w:rsid w:val="00091E45"/>
    <w:rsid w:val="000D758B"/>
    <w:rsid w:val="000F050A"/>
    <w:rsid w:val="000F48B7"/>
    <w:rsid w:val="000F709D"/>
    <w:rsid w:val="00132CEF"/>
    <w:rsid w:val="001506F4"/>
    <w:rsid w:val="001528EB"/>
    <w:rsid w:val="001564C0"/>
    <w:rsid w:val="00162B2A"/>
    <w:rsid w:val="001767C7"/>
    <w:rsid w:val="00183990"/>
    <w:rsid w:val="00183F1A"/>
    <w:rsid w:val="00193A8C"/>
    <w:rsid w:val="001B2600"/>
    <w:rsid w:val="001B4C17"/>
    <w:rsid w:val="001C5B7A"/>
    <w:rsid w:val="001E548B"/>
    <w:rsid w:val="001F3859"/>
    <w:rsid w:val="00216E0D"/>
    <w:rsid w:val="00216E48"/>
    <w:rsid w:val="00221612"/>
    <w:rsid w:val="00224C60"/>
    <w:rsid w:val="00235F0F"/>
    <w:rsid w:val="00296915"/>
    <w:rsid w:val="002C7F0B"/>
    <w:rsid w:val="002D217F"/>
    <w:rsid w:val="002E1176"/>
    <w:rsid w:val="002F168A"/>
    <w:rsid w:val="002F22DB"/>
    <w:rsid w:val="002F7CA4"/>
    <w:rsid w:val="003017C2"/>
    <w:rsid w:val="00312AE0"/>
    <w:rsid w:val="003147F0"/>
    <w:rsid w:val="003249B7"/>
    <w:rsid w:val="00324C9E"/>
    <w:rsid w:val="003301AF"/>
    <w:rsid w:val="00340699"/>
    <w:rsid w:val="0034757D"/>
    <w:rsid w:val="0035753B"/>
    <w:rsid w:val="003677FF"/>
    <w:rsid w:val="003679C1"/>
    <w:rsid w:val="00375471"/>
    <w:rsid w:val="00393C7E"/>
    <w:rsid w:val="003950D9"/>
    <w:rsid w:val="003A4325"/>
    <w:rsid w:val="003A6D4E"/>
    <w:rsid w:val="003B07DE"/>
    <w:rsid w:val="003E7112"/>
    <w:rsid w:val="004260AE"/>
    <w:rsid w:val="00446D67"/>
    <w:rsid w:val="004547B2"/>
    <w:rsid w:val="00461065"/>
    <w:rsid w:val="0046210D"/>
    <w:rsid w:val="00465CD9"/>
    <w:rsid w:val="00473C19"/>
    <w:rsid w:val="00475C50"/>
    <w:rsid w:val="00497A0C"/>
    <w:rsid w:val="004A6046"/>
    <w:rsid w:val="004C5A2B"/>
    <w:rsid w:val="004E3F3E"/>
    <w:rsid w:val="004F3947"/>
    <w:rsid w:val="0050142D"/>
    <w:rsid w:val="00504683"/>
    <w:rsid w:val="00514186"/>
    <w:rsid w:val="00515911"/>
    <w:rsid w:val="00526B85"/>
    <w:rsid w:val="0054192D"/>
    <w:rsid w:val="00545B3E"/>
    <w:rsid w:val="005471C8"/>
    <w:rsid w:val="00550A8D"/>
    <w:rsid w:val="00551602"/>
    <w:rsid w:val="00570D00"/>
    <w:rsid w:val="00591608"/>
    <w:rsid w:val="005A241C"/>
    <w:rsid w:val="005A591C"/>
    <w:rsid w:val="005B085C"/>
    <w:rsid w:val="005D3391"/>
    <w:rsid w:val="005D4D86"/>
    <w:rsid w:val="005F6900"/>
    <w:rsid w:val="006121BC"/>
    <w:rsid w:val="00613629"/>
    <w:rsid w:val="00617FD1"/>
    <w:rsid w:val="0062331C"/>
    <w:rsid w:val="006325EF"/>
    <w:rsid w:val="00636FB1"/>
    <w:rsid w:val="00642198"/>
    <w:rsid w:val="006544E7"/>
    <w:rsid w:val="006755BC"/>
    <w:rsid w:val="006A1E33"/>
    <w:rsid w:val="006B0B37"/>
    <w:rsid w:val="006B19DA"/>
    <w:rsid w:val="006F0D71"/>
    <w:rsid w:val="007029ED"/>
    <w:rsid w:val="0070300C"/>
    <w:rsid w:val="007049FD"/>
    <w:rsid w:val="00750296"/>
    <w:rsid w:val="00750F88"/>
    <w:rsid w:val="00754BD3"/>
    <w:rsid w:val="0079495C"/>
    <w:rsid w:val="007A5CAA"/>
    <w:rsid w:val="007B4FEB"/>
    <w:rsid w:val="0081531E"/>
    <w:rsid w:val="0082495F"/>
    <w:rsid w:val="00843FBE"/>
    <w:rsid w:val="00850672"/>
    <w:rsid w:val="008768E7"/>
    <w:rsid w:val="00876FF6"/>
    <w:rsid w:val="0089244E"/>
    <w:rsid w:val="008A1C17"/>
    <w:rsid w:val="008A513D"/>
    <w:rsid w:val="008A5A77"/>
    <w:rsid w:val="008E38C5"/>
    <w:rsid w:val="008F75C1"/>
    <w:rsid w:val="00913D32"/>
    <w:rsid w:val="00913F09"/>
    <w:rsid w:val="00935A73"/>
    <w:rsid w:val="00963922"/>
    <w:rsid w:val="00980ED6"/>
    <w:rsid w:val="00981949"/>
    <w:rsid w:val="009B3545"/>
    <w:rsid w:val="009B4F91"/>
    <w:rsid w:val="009B611A"/>
    <w:rsid w:val="009C213B"/>
    <w:rsid w:val="009D52F0"/>
    <w:rsid w:val="009E178D"/>
    <w:rsid w:val="009E2A52"/>
    <w:rsid w:val="009F15F6"/>
    <w:rsid w:val="009F58F1"/>
    <w:rsid w:val="00A164B1"/>
    <w:rsid w:val="00A35912"/>
    <w:rsid w:val="00A5010D"/>
    <w:rsid w:val="00A768E2"/>
    <w:rsid w:val="00A87CAE"/>
    <w:rsid w:val="00AB4095"/>
    <w:rsid w:val="00AB6089"/>
    <w:rsid w:val="00AB6ABD"/>
    <w:rsid w:val="00AC6614"/>
    <w:rsid w:val="00AD1B26"/>
    <w:rsid w:val="00AE1F9D"/>
    <w:rsid w:val="00AE2737"/>
    <w:rsid w:val="00AE39C4"/>
    <w:rsid w:val="00AE4773"/>
    <w:rsid w:val="00B04F6A"/>
    <w:rsid w:val="00B268F4"/>
    <w:rsid w:val="00B309D4"/>
    <w:rsid w:val="00B612A7"/>
    <w:rsid w:val="00B63274"/>
    <w:rsid w:val="00B774B8"/>
    <w:rsid w:val="00B87412"/>
    <w:rsid w:val="00B91A9A"/>
    <w:rsid w:val="00BB7A4B"/>
    <w:rsid w:val="00BF1186"/>
    <w:rsid w:val="00BF5555"/>
    <w:rsid w:val="00BF5A16"/>
    <w:rsid w:val="00C1160C"/>
    <w:rsid w:val="00C362FD"/>
    <w:rsid w:val="00C4479F"/>
    <w:rsid w:val="00C463BC"/>
    <w:rsid w:val="00C46EE1"/>
    <w:rsid w:val="00C560C9"/>
    <w:rsid w:val="00C75E7E"/>
    <w:rsid w:val="00C935A7"/>
    <w:rsid w:val="00CB7B98"/>
    <w:rsid w:val="00CC2B65"/>
    <w:rsid w:val="00CF1C49"/>
    <w:rsid w:val="00D01D3E"/>
    <w:rsid w:val="00D07416"/>
    <w:rsid w:val="00D20D75"/>
    <w:rsid w:val="00D33351"/>
    <w:rsid w:val="00D36A96"/>
    <w:rsid w:val="00D55B4D"/>
    <w:rsid w:val="00D62875"/>
    <w:rsid w:val="00D67A77"/>
    <w:rsid w:val="00D76036"/>
    <w:rsid w:val="00D7684B"/>
    <w:rsid w:val="00D82FB2"/>
    <w:rsid w:val="00DA62A6"/>
    <w:rsid w:val="00DC20C9"/>
    <w:rsid w:val="00DD3057"/>
    <w:rsid w:val="00DE5AA1"/>
    <w:rsid w:val="00E04BC0"/>
    <w:rsid w:val="00E1064F"/>
    <w:rsid w:val="00E402EC"/>
    <w:rsid w:val="00E72360"/>
    <w:rsid w:val="00E7483F"/>
    <w:rsid w:val="00E75286"/>
    <w:rsid w:val="00E802C1"/>
    <w:rsid w:val="00EC0639"/>
    <w:rsid w:val="00EC0C39"/>
    <w:rsid w:val="00EC3CC0"/>
    <w:rsid w:val="00EE25F2"/>
    <w:rsid w:val="00EE3187"/>
    <w:rsid w:val="00EF294D"/>
    <w:rsid w:val="00EF54FC"/>
    <w:rsid w:val="00F23D90"/>
    <w:rsid w:val="00F6602D"/>
    <w:rsid w:val="00F66AAC"/>
    <w:rsid w:val="00F9416D"/>
    <w:rsid w:val="00FC05EB"/>
    <w:rsid w:val="00FD07DA"/>
    <w:rsid w:val="00FD14FB"/>
    <w:rsid w:val="00FE0B1F"/>
    <w:rsid w:val="00FE0CE8"/>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577">
      <w:bodyDiv w:val="1"/>
      <w:marLeft w:val="0"/>
      <w:marRight w:val="0"/>
      <w:marTop w:val="0"/>
      <w:marBottom w:val="0"/>
      <w:divBdr>
        <w:top w:val="none" w:sz="0" w:space="0" w:color="auto"/>
        <w:left w:val="none" w:sz="0" w:space="0" w:color="auto"/>
        <w:bottom w:val="none" w:sz="0" w:space="0" w:color="auto"/>
        <w:right w:val="none" w:sz="0" w:space="0" w:color="auto"/>
      </w:divBdr>
    </w:div>
    <w:div w:id="1677808142">
      <w:bodyDiv w:val="1"/>
      <w:marLeft w:val="0"/>
      <w:marRight w:val="0"/>
      <w:marTop w:val="0"/>
      <w:marBottom w:val="0"/>
      <w:divBdr>
        <w:top w:val="none" w:sz="0" w:space="0" w:color="auto"/>
        <w:left w:val="none" w:sz="0" w:space="0" w:color="auto"/>
        <w:bottom w:val="none" w:sz="0" w:space="0" w:color="auto"/>
        <w:right w:val="none" w:sz="0" w:space="0" w:color="auto"/>
      </w:divBdr>
    </w:div>
    <w:div w:id="1747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transakcja/635775"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szpital-braniewo.home.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braniewo.home.p"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635775"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szpital-braniewo.hom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635775"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16D8-0566-47DB-88DE-776F8D4E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22</Pages>
  <Words>8146</Words>
  <Characters>48881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150</cp:revision>
  <cp:lastPrinted>2021-12-09T20:04:00Z</cp:lastPrinted>
  <dcterms:created xsi:type="dcterms:W3CDTF">2021-10-15T13:20:00Z</dcterms:created>
  <dcterms:modified xsi:type="dcterms:W3CDTF">2022-07-05T14:21:00Z</dcterms:modified>
</cp:coreProperties>
</file>