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3" w:rsidRPr="007651A4" w:rsidRDefault="00F01F80" w:rsidP="00F01F80">
      <w:pPr>
        <w:spacing w:after="0" w:line="240" w:lineRule="auto"/>
        <w:rPr>
          <w:rFonts w:cs="Calibri"/>
        </w:rPr>
      </w:pPr>
      <w:r w:rsidRPr="007651A4">
        <w:rPr>
          <w:rFonts w:cs="Calibri"/>
        </w:rPr>
        <w:t>_______________________________________________________________________</w:t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</w:r>
      <w:r w:rsidRPr="007651A4">
        <w:rPr>
          <w:rFonts w:cs="Calibri"/>
        </w:rPr>
        <w:softHyphen/>
        <w:t>___________</w:t>
      </w:r>
    </w:p>
    <w:p w:rsidR="00286CEF" w:rsidRPr="00122F06" w:rsidRDefault="00286CEF" w:rsidP="00286C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PD.260.01.2024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</w:t>
      </w:r>
      <w:r w:rsidRPr="00122F06">
        <w:rPr>
          <w:rFonts w:asciiTheme="minorHAnsi" w:hAnsiTheme="minorHAnsi" w:cstheme="minorHAnsi"/>
        </w:rPr>
        <w:tab/>
        <w:t xml:space="preserve">       </w:t>
      </w:r>
      <w:r w:rsidRPr="00122F06">
        <w:rPr>
          <w:rFonts w:asciiTheme="minorHAnsi" w:hAnsiTheme="minorHAnsi" w:cstheme="minorHAnsi"/>
        </w:rPr>
        <w:tab/>
      </w:r>
      <w:r w:rsidRPr="00122F06">
        <w:rPr>
          <w:rFonts w:asciiTheme="minorHAnsi" w:hAnsiTheme="minorHAnsi" w:cstheme="minorHAnsi"/>
        </w:rPr>
        <w:tab/>
        <w:t xml:space="preserve">   </w:t>
      </w:r>
    </w:p>
    <w:p w:rsidR="00286CEF" w:rsidRDefault="00286CEF" w:rsidP="00EC4087">
      <w:pPr>
        <w:spacing w:after="0" w:line="240" w:lineRule="auto"/>
        <w:jc w:val="center"/>
        <w:rPr>
          <w:rFonts w:cs="Calibri"/>
          <w:b/>
        </w:rPr>
      </w:pPr>
    </w:p>
    <w:p w:rsidR="00987392" w:rsidRPr="00286CEF" w:rsidRDefault="00A15F7A" w:rsidP="00286CEF">
      <w:pPr>
        <w:tabs>
          <w:tab w:val="left" w:pos="142"/>
        </w:tabs>
        <w:spacing w:after="0" w:line="240" w:lineRule="auto"/>
        <w:jc w:val="center"/>
        <w:rPr>
          <w:rFonts w:cs="Calibri"/>
          <w:b/>
        </w:rPr>
      </w:pPr>
      <w:r w:rsidRPr="00286CEF">
        <w:rPr>
          <w:rFonts w:cs="Calibri"/>
          <w:b/>
        </w:rPr>
        <w:t>Załącznik nr 5 - Wymagania jakościowe dotyczące plików TIFF</w:t>
      </w:r>
      <w:r w:rsidRPr="00286CEF">
        <w:rPr>
          <w:rFonts w:cs="Calibri"/>
          <w:b/>
        </w:rPr>
        <w:cr/>
      </w:r>
      <w:r w:rsidR="00987392" w:rsidRPr="00286CEF">
        <w:rPr>
          <w:rFonts w:cs="Calibri"/>
          <w:b/>
        </w:rPr>
        <w:t xml:space="preserve">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>Format plików macierz</w:t>
      </w:r>
      <w:r w:rsidR="009E4B05">
        <w:rPr>
          <w:rFonts w:cs="Calibri"/>
        </w:rPr>
        <w:t>ystych : TIFF, jednostronicowy.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Głębia barwy każdego pliku skanu : RGB 24 bitowy. </w:t>
      </w:r>
    </w:p>
    <w:p w:rsidR="00A15F7A" w:rsidRPr="007651A4" w:rsidRDefault="00A15F7A" w:rsidP="00EB71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51A4">
        <w:rPr>
          <w:rFonts w:cs="Calibri"/>
        </w:rPr>
        <w:t>Optyczna ro</w:t>
      </w:r>
      <w:r w:rsidR="00A14FCA">
        <w:rPr>
          <w:rFonts w:cs="Calibri"/>
        </w:rPr>
        <w:t xml:space="preserve">zdzielczość skanowania: 400 </w:t>
      </w:r>
      <w:r w:rsidR="005E6124">
        <w:rPr>
          <w:rFonts w:cs="Calibri"/>
        </w:rPr>
        <w:t>p</w:t>
      </w:r>
      <w:r w:rsidR="00A14FCA">
        <w:rPr>
          <w:rFonts w:cs="Calibri"/>
        </w:rPr>
        <w:t xml:space="preserve">pi. </w:t>
      </w:r>
      <w:r w:rsidRPr="007651A4">
        <w:rPr>
          <w:rFonts w:cs="Calibri"/>
        </w:rPr>
        <w:t>Przez powierzchnię skanowania rozumie się całkowitą powierzchnię, jaką zajmuje zeskanowana strona. Wykonawca, jeżeli uzna to za stosowne,</w:t>
      </w:r>
      <w:r w:rsidR="00EB7180">
        <w:rPr>
          <w:rFonts w:cs="Calibri"/>
        </w:rPr>
        <w:t xml:space="preserve"> </w:t>
      </w:r>
      <w:r w:rsidR="00EB7180" w:rsidRPr="00EB7180">
        <w:rPr>
          <w:rFonts w:cs="Calibri"/>
        </w:rPr>
        <w:t>przykładowo w celu osiągnięcia wymaganego poziomu rozpoznania OCR</w:t>
      </w:r>
      <w:r w:rsidRPr="007651A4">
        <w:rPr>
          <w:rFonts w:cs="Calibri"/>
        </w:rPr>
        <w:t xml:space="preserve"> może dla wybranych stron wykonać skanowanie z rozdzielc</w:t>
      </w:r>
      <w:r w:rsidR="00F904CB" w:rsidRPr="007651A4">
        <w:rPr>
          <w:rFonts w:cs="Calibri"/>
        </w:rPr>
        <w:t xml:space="preserve">zościami wyższymi niż określone w niniejszym punkcie, </w:t>
      </w:r>
      <w:r w:rsidRPr="007651A4">
        <w:rPr>
          <w:rFonts w:cs="Calibri"/>
        </w:rPr>
        <w:t>a które to należy rozumieć, jako rozdzielczości minimalne. Dopuszczalnymi wartościami rozdzielczości optycznej skanowania są wyłącznie :</w:t>
      </w:r>
      <w:r w:rsidR="00A14FCA">
        <w:rPr>
          <w:rFonts w:cs="Calibri"/>
        </w:rPr>
        <w:t xml:space="preserve"> </w:t>
      </w:r>
      <w:r w:rsidRPr="007651A4">
        <w:rPr>
          <w:rFonts w:cs="Calibri"/>
        </w:rPr>
        <w:t>400</w:t>
      </w:r>
      <w:r w:rsidR="00EB0D1D">
        <w:rPr>
          <w:rFonts w:cs="Calibri"/>
        </w:rPr>
        <w:t>, 450</w:t>
      </w:r>
      <w:bookmarkStart w:id="0" w:name="_GoBack"/>
      <w:bookmarkEnd w:id="0"/>
      <w:r w:rsidRPr="007651A4">
        <w:rPr>
          <w:rFonts w:cs="Calibri"/>
        </w:rPr>
        <w:t xml:space="preserve"> </w:t>
      </w:r>
      <w:r w:rsidR="00A14FCA">
        <w:rPr>
          <w:rFonts w:cs="Calibri"/>
        </w:rPr>
        <w:t xml:space="preserve">i </w:t>
      </w:r>
      <w:r w:rsidRPr="007651A4">
        <w:rPr>
          <w:rFonts w:cs="Calibri"/>
        </w:rPr>
        <w:t xml:space="preserve">600 </w:t>
      </w:r>
      <w:r w:rsidR="00A14FCA">
        <w:rPr>
          <w:rFonts w:cs="Calibri"/>
        </w:rPr>
        <w:t>p</w:t>
      </w:r>
      <w:r w:rsidRPr="007651A4">
        <w:rPr>
          <w:rFonts w:cs="Calibri"/>
        </w:rPr>
        <w:t xml:space="preserve">pi.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Kompresja pliku macierzystego </w:t>
      </w:r>
      <w:r w:rsidRPr="007651A4">
        <w:rPr>
          <w:rFonts w:cs="Calibri"/>
          <w:b/>
          <w:bCs/>
        </w:rPr>
        <w:t>:</w:t>
      </w:r>
      <w:r w:rsidRPr="007651A4">
        <w:rPr>
          <w:rFonts w:cs="Calibri"/>
        </w:rPr>
        <w:t xml:space="preserve"> dopuszczalne jest zastosowanie kompresji bezstratnej LZW.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>Wszystkie strony wchodzące w numerację, nawet puste, podobnie jak okładki oraz strony nienumerowane, muszą być zeskanowane.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Wymiary zeskanowanej strony w pliku TIFF (szerokość, wysokość) muszą być takie same jak wymiary strony obiektu papierowego. Przeskalowania wymiarów plików TIFF </w:t>
      </w:r>
      <w:r w:rsidR="00E02CDA" w:rsidRPr="007651A4">
        <w:rPr>
          <w:rFonts w:cs="Calibri"/>
        </w:rPr>
        <w:br/>
      </w:r>
      <w:r w:rsidRPr="007651A4">
        <w:rPr>
          <w:rFonts w:cs="Calibri"/>
        </w:rPr>
        <w:t>są niedopuszczalne.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>Współczynnik Gamma</w:t>
      </w:r>
      <w:r w:rsidR="00EB7180">
        <w:rPr>
          <w:rFonts w:cs="Calibri"/>
        </w:rPr>
        <w:t xml:space="preserve"> </w:t>
      </w:r>
      <w:r w:rsidRPr="007651A4">
        <w:rPr>
          <w:rFonts w:cs="Calibri"/>
          <w:b/>
          <w:bCs/>
        </w:rPr>
        <w:t>:</w:t>
      </w:r>
      <w:r w:rsidRPr="007651A4">
        <w:rPr>
          <w:rFonts w:cs="Calibri"/>
        </w:rPr>
        <w:t xml:space="preserve"> wartość zalecana 2,10. Wykonawca, mając na uwadze, jakość wykonywanego skanu, może dokonywać zmian zgodnie z posiadaną wiedzą, </w:t>
      </w:r>
      <w:r w:rsidRPr="007651A4">
        <w:rPr>
          <w:rFonts w:cs="Calibri"/>
        </w:rPr>
        <w:br/>
        <w:t>w przedziale wartości 1.60÷2.30.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Plik skanu powinien wiernie zachowywać kolorystykę oryginału papierowego (zapis skanów bez rozdzielania profilu wyświetlania na pole predefiniowane i treść skanu).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Plik skanu powinien być wykonany z jednolitym i równomiernym oświetleniem całej powierzchni skanowanej strony.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>Jakiekolwiek inne operacje na plikach macierzystych są zabronione. Dotyczy to m.in. operacji zmiany rozdzielczości (</w:t>
      </w:r>
      <w:proofErr w:type="spellStart"/>
      <w:r w:rsidRPr="007651A4">
        <w:rPr>
          <w:rFonts w:cs="Calibri"/>
        </w:rPr>
        <w:t>downsampling</w:t>
      </w:r>
      <w:proofErr w:type="spellEnd"/>
      <w:r w:rsidRPr="007651A4">
        <w:rPr>
          <w:rFonts w:cs="Calibri"/>
        </w:rPr>
        <w:t>/</w:t>
      </w:r>
      <w:proofErr w:type="spellStart"/>
      <w:r w:rsidRPr="007651A4">
        <w:rPr>
          <w:rFonts w:cs="Calibri"/>
        </w:rPr>
        <w:t>upsampling</w:t>
      </w:r>
      <w:proofErr w:type="spellEnd"/>
      <w:r w:rsidRPr="007651A4">
        <w:rPr>
          <w:rFonts w:cs="Calibri"/>
        </w:rPr>
        <w:t xml:space="preserve">), redukcji głębi kolorów, zmiany jasności, manipulacji poziomem kontrastu.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Zawartość metadanych EXIF generowana podczas skanowania powinna pozostać </w:t>
      </w:r>
      <w:r w:rsidRPr="007651A4">
        <w:rPr>
          <w:rFonts w:cs="Calibri"/>
        </w:rPr>
        <w:br/>
        <w:t xml:space="preserve">w plikach TIFF bez zmian. Ponadto, w każdym pliku TIFF należy zapisać wewnętrzne metadane uniwersalne, zgodnie z wymogami określonymi w </w:t>
      </w:r>
      <w:r w:rsidR="00E6670D">
        <w:rPr>
          <w:rFonts w:cs="Calibri"/>
        </w:rPr>
        <w:t>Z</w:t>
      </w:r>
      <w:r w:rsidRPr="007651A4">
        <w:rPr>
          <w:rFonts w:cs="Calibri"/>
        </w:rPr>
        <w:t xml:space="preserve">ałączniku </w:t>
      </w:r>
      <w:r w:rsidRPr="009E4B05">
        <w:rPr>
          <w:rFonts w:cs="Calibri"/>
        </w:rPr>
        <w:t xml:space="preserve">nr </w:t>
      </w:r>
      <w:r w:rsidR="00EB7180" w:rsidRPr="009E4B05">
        <w:rPr>
          <w:rFonts w:cs="Calibri"/>
        </w:rPr>
        <w:t>8</w:t>
      </w:r>
      <w:r w:rsidRPr="009E4B05">
        <w:rPr>
          <w:rFonts w:cs="Calibri"/>
        </w:rPr>
        <w:t>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Pod skanowane obiekty biblioteczne (bez względu na rodzaj skanowanego obiektu) oraz pod każdą ze skanowanych stron należy podkładać beżową podkładkę tak, </w:t>
      </w:r>
      <w:r w:rsidRPr="007651A4">
        <w:rPr>
          <w:rFonts w:cs="Calibri"/>
        </w:rPr>
        <w:br/>
        <w:t>by obszar marginesów w plikach skanów nie zawierał czarnych fragmentów stołu skanera.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Dla każdego woluminu obraz skanu każdej strony zawierającej przynajmniej jedno słowo - należy poziomować względem tekstu zawartego na tej stronie. Dla stron zawierających tekst w pionie oraz w poziomie, poziomowanie prowadzić należy względem tego kierunku, </w:t>
      </w:r>
      <w:r w:rsidR="00E02CDA" w:rsidRPr="007651A4">
        <w:rPr>
          <w:rFonts w:cs="Calibri"/>
        </w:rPr>
        <w:br/>
      </w:r>
      <w:r w:rsidRPr="007651A4">
        <w:rPr>
          <w:rFonts w:cs="Calibri"/>
        </w:rPr>
        <w:t xml:space="preserve">w którym na stronie umieszczono większą część tekstu. Maksymalne dopuszczalne odchylenie wierszy tekstu od poziomu nie może przekroczyć 1,5°.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>Marginesy wokół zeskanowanej strony :</w:t>
      </w:r>
    </w:p>
    <w:p w:rsidR="00A15F7A" w:rsidRPr="007651A4" w:rsidRDefault="00A15F7A" w:rsidP="00AB4AC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PMingLiU" w:cs="Calibri"/>
        </w:rPr>
      </w:pPr>
      <w:r w:rsidRPr="007651A4">
        <w:rPr>
          <w:rFonts w:cs="Calibri"/>
        </w:rPr>
        <w:t xml:space="preserve">co najwyżej 2.0 mm wokół obrzeży nie graniczących ze stroną sąsiadującą obiektu papierowego, </w:t>
      </w:r>
    </w:p>
    <w:p w:rsidR="00A15F7A" w:rsidRPr="007651A4" w:rsidRDefault="00A15F7A" w:rsidP="00AB4AC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PMingLiU" w:cs="Calibri"/>
        </w:rPr>
      </w:pPr>
      <w:r w:rsidRPr="007651A4">
        <w:rPr>
          <w:rFonts w:cs="Calibri"/>
        </w:rPr>
        <w:t xml:space="preserve">co najwyżej 2.0 mm wzdłuż obrzeża graniczącego ze stroną sąsiadującą obiektu papierowego. </w:t>
      </w:r>
    </w:p>
    <w:p w:rsidR="00A15F7A" w:rsidRPr="007651A4" w:rsidRDefault="00A15F7A" w:rsidP="00AB4AC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PMingLiU" w:cs="Calibri"/>
        </w:rPr>
      </w:pPr>
      <w:r w:rsidRPr="007651A4">
        <w:rPr>
          <w:rFonts w:cs="Calibri"/>
        </w:rPr>
        <w:t xml:space="preserve">Powyższy wymóg nie dotyczy skanów rozkładanych kart lub wklejonych </w:t>
      </w:r>
      <w:r w:rsidRPr="007651A4">
        <w:rPr>
          <w:rFonts w:cs="Calibri"/>
        </w:rPr>
        <w:br/>
        <w:t>do obiektów map, które powinny być kadrowane do swojego własnego wymiaru</w:t>
      </w:r>
      <w:r w:rsidRPr="007651A4">
        <w:rPr>
          <w:rFonts w:cs="Calibri"/>
          <w:b/>
          <w:bCs/>
        </w:rPr>
        <w:t>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>Zawartością pliku skanu jest cała powierzchnia zeskanowanej strony oraz powierzchnia zajęta przez marginesy o rozmiarach określonych powyżej.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W przypadku obiektów graficznych (zdjęć, ilustracji, drzeworytów, map, itp.) zaprezentowanych w całości na dwóch sąsiadujących stronach, takie dwie strony należy </w:t>
      </w:r>
      <w:r w:rsidRPr="007651A4">
        <w:rPr>
          <w:rFonts w:cs="Calibri"/>
        </w:rPr>
        <w:lastRenderedPageBreak/>
        <w:t>zeskanować do pojedynczego pliku skanu.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Jeżeli treścią zeskanowanej strony jest w całości tekst lub tabela wartości odwrócona </w:t>
      </w:r>
      <w:r w:rsidRPr="007651A4">
        <w:rPr>
          <w:rFonts w:cs="Calibri"/>
        </w:rPr>
        <w:br/>
        <w:t xml:space="preserve">o 90°, plik skanu należy zapisać na nośniku z rotacją o 90° w taki sposób, </w:t>
      </w:r>
      <w:r w:rsidRPr="007651A4">
        <w:rPr>
          <w:rFonts w:cs="Calibri"/>
        </w:rPr>
        <w:br/>
        <w:t>aby przeglądarka wyświetlała wiersze tekstu poziomo i nie była wymagana – celem naturalnego zapoznawania się z treścią strony – operacja obrotu strony.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Jeżeli zagięcie strony powoduje w jakimkolwiek stopniu przesłanianie jej treści, wymagane jest niwelowanie tych zagięć przed wykonaniem </w:t>
      </w:r>
      <w:r w:rsidR="00F904CB" w:rsidRPr="007651A4">
        <w:rPr>
          <w:rFonts w:cs="Calibri"/>
        </w:rPr>
        <w:t xml:space="preserve">skanowania. </w:t>
      </w:r>
      <w:r w:rsidRPr="007651A4">
        <w:rPr>
          <w:rFonts w:cs="Calibri"/>
        </w:rPr>
        <w:t>W przypadku stron, dla których operacja ta może spowodować trwałe ich uszkodzenie, Wykonawca - po potwierdzeniu tego faktu przez Zamawiającego - może odstąpić od jej realizacji.</w:t>
      </w:r>
    </w:p>
    <w:p w:rsidR="00B11ED3" w:rsidRDefault="00A15F7A" w:rsidP="002D2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B11ED3">
        <w:rPr>
          <w:rFonts w:cs="Calibri"/>
        </w:rPr>
        <w:t xml:space="preserve">Pliki macierzyste każdego zdigitalizowanego obiektu należy zapisać w oddzielnym folderze </w:t>
      </w:r>
      <w:r w:rsidR="00B11ED3">
        <w:rPr>
          <w:rFonts w:cs="Calibri"/>
        </w:rPr>
        <w:t>d</w:t>
      </w:r>
      <w:r w:rsidRPr="00B11ED3">
        <w:rPr>
          <w:rFonts w:cs="Calibri"/>
        </w:rPr>
        <w:t>yskowym.</w:t>
      </w:r>
      <w:r w:rsidR="00B11ED3" w:rsidRPr="00B11ED3">
        <w:rPr>
          <w:rFonts w:cs="Calibri"/>
        </w:rPr>
        <w:t xml:space="preserve"> </w:t>
      </w:r>
      <w:r w:rsidRPr="00B11ED3">
        <w:rPr>
          <w:rFonts w:cs="Calibri"/>
        </w:rPr>
        <w:t xml:space="preserve">Sposób nazewnictwa folderów oraz plików </w:t>
      </w:r>
      <w:r w:rsidR="00F904CB" w:rsidRPr="00B11ED3">
        <w:rPr>
          <w:rFonts w:cs="Calibri"/>
        </w:rPr>
        <w:t xml:space="preserve">TIFF opisano </w:t>
      </w:r>
      <w:r w:rsidR="00F904CB" w:rsidRPr="00B11ED3">
        <w:rPr>
          <w:rFonts w:cs="Calibri"/>
        </w:rPr>
        <w:br/>
        <w:t xml:space="preserve">w </w:t>
      </w:r>
      <w:r w:rsidR="00577395" w:rsidRPr="009E4B05">
        <w:rPr>
          <w:rFonts w:cs="Calibri"/>
        </w:rPr>
        <w:t>Z</w:t>
      </w:r>
      <w:r w:rsidR="00F904CB" w:rsidRPr="009E4B05">
        <w:rPr>
          <w:rFonts w:cs="Calibri"/>
        </w:rPr>
        <w:t>ałączniku nr 11</w:t>
      </w:r>
      <w:r w:rsidRPr="009E4B05">
        <w:rPr>
          <w:rFonts w:cs="Calibri"/>
        </w:rPr>
        <w:t>.</w:t>
      </w:r>
      <w:r w:rsidRPr="00B11ED3">
        <w:rPr>
          <w:rFonts w:cs="Calibri"/>
        </w:rPr>
        <w:t xml:space="preserve"> </w:t>
      </w:r>
    </w:p>
    <w:p w:rsidR="00A15F7A" w:rsidRPr="00B11ED3" w:rsidRDefault="00A15F7A" w:rsidP="002D2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B11ED3">
        <w:rPr>
          <w:rFonts w:cs="Calibri"/>
        </w:rPr>
        <w:t xml:space="preserve">Zachowanie oryginalnego układu (porządku) stron jest obligatoryjne i realizowane przez stosowne nazywanie kolejnych plików skanów. </w:t>
      </w:r>
    </w:p>
    <w:p w:rsidR="00A15F7A" w:rsidRPr="007651A4" w:rsidRDefault="00A15F7A" w:rsidP="00AB4A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cs="Calibri"/>
        </w:rPr>
      </w:pPr>
      <w:r w:rsidRPr="007651A4">
        <w:rPr>
          <w:rFonts w:cs="Calibri"/>
        </w:rPr>
        <w:t xml:space="preserve">Kopie plików TIFF muszą być przechowywane przez Wykonawcę do końca okresu gwarancyjnego i na wniosek Zamawiającego udostępniane mu w celu skopiowania </w:t>
      </w:r>
      <w:r w:rsidRPr="007651A4">
        <w:rPr>
          <w:rFonts w:cs="Calibri"/>
        </w:rPr>
        <w:br/>
        <w:t>na nośniki będące własnością Zamawiającego.</w:t>
      </w:r>
    </w:p>
    <w:p w:rsidR="00A15F7A" w:rsidRPr="00577395" w:rsidRDefault="00A15F7A" w:rsidP="00C8575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77395">
        <w:rPr>
          <w:rFonts w:cs="Calibri"/>
        </w:rPr>
        <w:t>Dla każdej publikacji zwartej</w:t>
      </w:r>
      <w:r w:rsidR="00577395" w:rsidRPr="00577395">
        <w:rPr>
          <w:rFonts w:cs="Calibri"/>
        </w:rPr>
        <w:t xml:space="preserve"> </w:t>
      </w:r>
      <w:r w:rsidRPr="00577395">
        <w:rPr>
          <w:rFonts w:cs="Calibri"/>
        </w:rPr>
        <w:t xml:space="preserve"> należy wykonać plik skanu testowego, który zawierać będzie stronę tytułową </w:t>
      </w:r>
      <w:r w:rsidR="00577395" w:rsidRPr="00577395">
        <w:rPr>
          <w:rFonts w:cs="Calibri"/>
        </w:rPr>
        <w:t xml:space="preserve">pierwszej </w:t>
      </w:r>
      <w:r w:rsidRPr="00577395">
        <w:rPr>
          <w:rFonts w:cs="Calibri"/>
        </w:rPr>
        <w:t>skanowanej publikacji</w:t>
      </w:r>
      <w:r w:rsidR="00577395" w:rsidRPr="00577395">
        <w:rPr>
          <w:rFonts w:cs="Calibri"/>
        </w:rPr>
        <w:t xml:space="preserve"> (numeru czasopisma)</w:t>
      </w:r>
      <w:r w:rsidRPr="00577395">
        <w:rPr>
          <w:rFonts w:cs="Calibri"/>
        </w:rPr>
        <w:t xml:space="preserve"> oraz dołączony wzorzec kolorów (np.</w:t>
      </w:r>
      <w:r w:rsidR="00C85750">
        <w:rPr>
          <w:rFonts w:cs="Calibri"/>
        </w:rPr>
        <w:t xml:space="preserve"> </w:t>
      </w:r>
      <w:r w:rsidR="00C85750" w:rsidRPr="00C85750">
        <w:rPr>
          <w:rFonts w:cs="Calibri"/>
        </w:rPr>
        <w:t>Adobe RGB 1998</w:t>
      </w:r>
      <w:r w:rsidRPr="00577395">
        <w:rPr>
          <w:rFonts w:cs="Calibri"/>
        </w:rPr>
        <w:t>). Wzorzec kolorów należy umieścić na skanowanej stronie. Programy udostępniające składowe koloru wskaz</w:t>
      </w:r>
      <w:r w:rsidR="00F904CB" w:rsidRPr="00577395">
        <w:rPr>
          <w:rFonts w:cs="Calibri"/>
        </w:rPr>
        <w:t xml:space="preserve">anego kursorem myszki, powinny </w:t>
      </w:r>
      <w:r w:rsidRPr="00577395">
        <w:rPr>
          <w:rFonts w:cs="Calibri"/>
        </w:rPr>
        <w:t>w obszarze bieli i czerni w użytym wzo</w:t>
      </w:r>
      <w:r w:rsidR="00F904CB" w:rsidRPr="00577395">
        <w:rPr>
          <w:rFonts w:cs="Calibri"/>
        </w:rPr>
        <w:t xml:space="preserve">rcu wskazywać wartości zawarte </w:t>
      </w:r>
      <w:r w:rsidRPr="00577395">
        <w:rPr>
          <w:rFonts w:cs="Calibri"/>
        </w:rPr>
        <w:t xml:space="preserve">w przedziałach : dla bieli  R 250÷255,  G 250÷255,  B 250÷255, a dla czerni  R 0÷5,  G 0÷5,  B 0÷5. Publikacje, dla których plik skanu testowego nie potwierdzi spełnienia niniejszego wymogu, nie będą podlegać odbiorowi przez Zamawiającego. Sposób nazewnictwa i lokalizację zapisu </w:t>
      </w:r>
      <w:r w:rsidRPr="00577395">
        <w:rPr>
          <w:rFonts w:cs="Calibri"/>
          <w:bCs/>
        </w:rPr>
        <w:t>plików</w:t>
      </w:r>
      <w:r w:rsidRPr="00577395">
        <w:rPr>
          <w:rFonts w:cs="Calibri"/>
          <w:b/>
          <w:bCs/>
        </w:rPr>
        <w:t xml:space="preserve"> </w:t>
      </w:r>
      <w:r w:rsidRPr="00577395">
        <w:rPr>
          <w:rFonts w:cs="Calibri"/>
        </w:rPr>
        <w:t xml:space="preserve">skanu testowego opisany jest w </w:t>
      </w:r>
      <w:r w:rsidR="00577395" w:rsidRPr="009E4B05">
        <w:rPr>
          <w:rFonts w:cs="Calibri"/>
        </w:rPr>
        <w:t>Z</w:t>
      </w:r>
      <w:r w:rsidRPr="009E4B05">
        <w:rPr>
          <w:rFonts w:cs="Calibri"/>
        </w:rPr>
        <w:t>ałączniku nr 1</w:t>
      </w:r>
      <w:r w:rsidR="004E47F3" w:rsidRPr="009E4B05">
        <w:rPr>
          <w:rFonts w:cs="Calibri"/>
        </w:rPr>
        <w:t>1</w:t>
      </w:r>
      <w:r w:rsidR="00F66BB0" w:rsidRPr="009E4B05">
        <w:rPr>
          <w:rFonts w:cs="Calibri"/>
        </w:rPr>
        <w:t>.</w:t>
      </w:r>
    </w:p>
    <w:p w:rsidR="00A15F7A" w:rsidRPr="007651A4" w:rsidRDefault="00A15F7A" w:rsidP="00A15F7A">
      <w:pPr>
        <w:jc w:val="center"/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A15F7A">
      <w:pPr>
        <w:rPr>
          <w:rFonts w:cs="Calibri"/>
        </w:rPr>
      </w:pPr>
    </w:p>
    <w:p w:rsidR="00A15F7A" w:rsidRPr="007651A4" w:rsidRDefault="00A15F7A" w:rsidP="00EB7180">
      <w:pPr>
        <w:tabs>
          <w:tab w:val="left" w:pos="142"/>
          <w:tab w:val="left" w:pos="7655"/>
        </w:tabs>
        <w:spacing w:after="0"/>
        <w:rPr>
          <w:rFonts w:cs="Calibri"/>
        </w:rPr>
      </w:pPr>
    </w:p>
    <w:sectPr w:rsidR="00A15F7A" w:rsidRPr="007651A4" w:rsidSect="00A15F7A">
      <w:headerReference w:type="even" r:id="rId8"/>
      <w:headerReference w:type="first" r:id="rId9"/>
      <w:pgSz w:w="11906" w:h="16838" w:code="9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46" w:rsidRDefault="00C40C46" w:rsidP="004F6B67">
      <w:pPr>
        <w:spacing w:after="0" w:line="240" w:lineRule="auto"/>
      </w:pPr>
      <w:r>
        <w:separator/>
      </w:r>
    </w:p>
  </w:endnote>
  <w:endnote w:type="continuationSeparator" w:id="0">
    <w:p w:rsidR="00C40C46" w:rsidRDefault="00C40C46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46" w:rsidRDefault="00C40C46" w:rsidP="004F6B67">
      <w:pPr>
        <w:spacing w:after="0" w:line="240" w:lineRule="auto"/>
      </w:pPr>
      <w:r>
        <w:separator/>
      </w:r>
    </w:p>
  </w:footnote>
  <w:footnote w:type="continuationSeparator" w:id="0">
    <w:p w:rsidR="00C40C46" w:rsidRDefault="00C40C46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C40C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39" w:rsidRDefault="00C40C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9264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4EB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3B61B6C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D09CA"/>
    <w:multiLevelType w:val="hybridMultilevel"/>
    <w:tmpl w:val="E3FE2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51E75B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D414B"/>
    <w:multiLevelType w:val="hybridMultilevel"/>
    <w:tmpl w:val="4022E2DE"/>
    <w:lvl w:ilvl="0" w:tplc="26EC76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6260"/>
    <w:multiLevelType w:val="hybridMultilevel"/>
    <w:tmpl w:val="66DA2E7A"/>
    <w:lvl w:ilvl="0" w:tplc="42F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486"/>
    <w:multiLevelType w:val="hybridMultilevel"/>
    <w:tmpl w:val="F05A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23F4B"/>
    <w:multiLevelType w:val="hybridMultilevel"/>
    <w:tmpl w:val="AE7AF7F2"/>
    <w:lvl w:ilvl="0" w:tplc="75E68B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6DE9"/>
    <w:multiLevelType w:val="hybridMultilevel"/>
    <w:tmpl w:val="C82E2260"/>
    <w:lvl w:ilvl="0" w:tplc="0F7A0C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22866"/>
    <w:multiLevelType w:val="hybridMultilevel"/>
    <w:tmpl w:val="B8566F3A"/>
    <w:lvl w:ilvl="0" w:tplc="6C3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71F"/>
    <w:multiLevelType w:val="hybridMultilevel"/>
    <w:tmpl w:val="F758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7359"/>
    <w:multiLevelType w:val="hybridMultilevel"/>
    <w:tmpl w:val="E23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36CBD"/>
    <w:multiLevelType w:val="hybridMultilevel"/>
    <w:tmpl w:val="B2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8470C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603AC1"/>
    <w:multiLevelType w:val="hybridMultilevel"/>
    <w:tmpl w:val="4FC4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30FD0"/>
    <w:multiLevelType w:val="hybridMultilevel"/>
    <w:tmpl w:val="8748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5D00BB"/>
    <w:multiLevelType w:val="hybridMultilevel"/>
    <w:tmpl w:val="850200EC"/>
    <w:lvl w:ilvl="0" w:tplc="A0A8BC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F754D"/>
    <w:multiLevelType w:val="hybridMultilevel"/>
    <w:tmpl w:val="C6CABBA6"/>
    <w:lvl w:ilvl="0" w:tplc="6ABE80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F03A3"/>
    <w:multiLevelType w:val="hybridMultilevel"/>
    <w:tmpl w:val="41D2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D6683"/>
    <w:multiLevelType w:val="hybridMultilevel"/>
    <w:tmpl w:val="409AC870"/>
    <w:lvl w:ilvl="0" w:tplc="E6642B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617AB"/>
    <w:multiLevelType w:val="hybridMultilevel"/>
    <w:tmpl w:val="CC4AEC3A"/>
    <w:lvl w:ilvl="0" w:tplc="B37E9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1706"/>
    <w:multiLevelType w:val="hybridMultilevel"/>
    <w:tmpl w:val="591C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919A4"/>
    <w:multiLevelType w:val="multilevel"/>
    <w:tmpl w:val="E1A4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0C4C86"/>
    <w:multiLevelType w:val="hybridMultilevel"/>
    <w:tmpl w:val="DE4CA656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919135B"/>
    <w:multiLevelType w:val="hybridMultilevel"/>
    <w:tmpl w:val="6C8A7616"/>
    <w:lvl w:ilvl="0" w:tplc="870A32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4CFF"/>
    <w:multiLevelType w:val="hybridMultilevel"/>
    <w:tmpl w:val="80C8DD7A"/>
    <w:lvl w:ilvl="0" w:tplc="870A3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F0405"/>
    <w:multiLevelType w:val="hybridMultilevel"/>
    <w:tmpl w:val="CC36C3D4"/>
    <w:lvl w:ilvl="0" w:tplc="B7CEE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EA2211"/>
    <w:multiLevelType w:val="hybridMultilevel"/>
    <w:tmpl w:val="3B7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27511"/>
    <w:multiLevelType w:val="hybridMultilevel"/>
    <w:tmpl w:val="CEBA3EDA"/>
    <w:lvl w:ilvl="0" w:tplc="870A32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2F23123"/>
    <w:multiLevelType w:val="hybridMultilevel"/>
    <w:tmpl w:val="317A715C"/>
    <w:lvl w:ilvl="0" w:tplc="6C3CA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2D19"/>
    <w:multiLevelType w:val="hybridMultilevel"/>
    <w:tmpl w:val="B0C61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6753F"/>
    <w:multiLevelType w:val="hybridMultilevel"/>
    <w:tmpl w:val="C94E4D7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D174DE3"/>
    <w:multiLevelType w:val="hybridMultilevel"/>
    <w:tmpl w:val="FD4C0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741A9"/>
    <w:multiLevelType w:val="hybridMultilevel"/>
    <w:tmpl w:val="78CCC792"/>
    <w:lvl w:ilvl="0" w:tplc="D03AE3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A0672"/>
    <w:multiLevelType w:val="hybridMultilevel"/>
    <w:tmpl w:val="5838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748AD"/>
    <w:multiLevelType w:val="hybridMultilevel"/>
    <w:tmpl w:val="A014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9"/>
  </w:num>
  <w:num w:numId="5">
    <w:abstractNumId w:val="12"/>
  </w:num>
  <w:num w:numId="6">
    <w:abstractNumId w:val="17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37"/>
  </w:num>
  <w:num w:numId="12">
    <w:abstractNumId w:val="36"/>
  </w:num>
  <w:num w:numId="13">
    <w:abstractNumId w:val="23"/>
  </w:num>
  <w:num w:numId="14">
    <w:abstractNumId w:val="18"/>
  </w:num>
  <w:num w:numId="15">
    <w:abstractNumId w:val="32"/>
  </w:num>
  <w:num w:numId="16">
    <w:abstractNumId w:val="30"/>
  </w:num>
  <w:num w:numId="17">
    <w:abstractNumId w:val="22"/>
  </w:num>
  <w:num w:numId="18">
    <w:abstractNumId w:val="11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7"/>
  </w:num>
  <w:num w:numId="24">
    <w:abstractNumId w:val="31"/>
  </w:num>
  <w:num w:numId="25">
    <w:abstractNumId w:val="3"/>
  </w:num>
  <w:num w:numId="26">
    <w:abstractNumId w:val="5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21"/>
  </w:num>
  <w:num w:numId="32">
    <w:abstractNumId w:val="4"/>
  </w:num>
  <w:num w:numId="33">
    <w:abstractNumId w:val="13"/>
  </w:num>
  <w:num w:numId="34">
    <w:abstractNumId w:val="14"/>
  </w:num>
  <w:num w:numId="35">
    <w:abstractNumId w:val="10"/>
  </w:num>
  <w:num w:numId="36">
    <w:abstractNumId w:val="29"/>
  </w:num>
  <w:num w:numId="37">
    <w:abstractNumId w:val="34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2070D"/>
    <w:rsid w:val="00096891"/>
    <w:rsid w:val="000A7734"/>
    <w:rsid w:val="000C40AE"/>
    <w:rsid w:val="000D2952"/>
    <w:rsid w:val="0011601D"/>
    <w:rsid w:val="00122328"/>
    <w:rsid w:val="00145FA8"/>
    <w:rsid w:val="0015285D"/>
    <w:rsid w:val="00154CA7"/>
    <w:rsid w:val="00156716"/>
    <w:rsid w:val="00197CCD"/>
    <w:rsid w:val="001D19CF"/>
    <w:rsid w:val="001D29C8"/>
    <w:rsid w:val="002002FC"/>
    <w:rsid w:val="00200E69"/>
    <w:rsid w:val="00225D35"/>
    <w:rsid w:val="00227452"/>
    <w:rsid w:val="00230DDE"/>
    <w:rsid w:val="0023347B"/>
    <w:rsid w:val="0023695D"/>
    <w:rsid w:val="00246E4F"/>
    <w:rsid w:val="002559D7"/>
    <w:rsid w:val="00286A28"/>
    <w:rsid w:val="00286CEF"/>
    <w:rsid w:val="002A69EC"/>
    <w:rsid w:val="002B319F"/>
    <w:rsid w:val="002B41F1"/>
    <w:rsid w:val="00311FAF"/>
    <w:rsid w:val="00314296"/>
    <w:rsid w:val="00335F0E"/>
    <w:rsid w:val="00350DD0"/>
    <w:rsid w:val="00352730"/>
    <w:rsid w:val="003663F0"/>
    <w:rsid w:val="00377D9E"/>
    <w:rsid w:val="00392028"/>
    <w:rsid w:val="00397359"/>
    <w:rsid w:val="003A7149"/>
    <w:rsid w:val="003B0BF0"/>
    <w:rsid w:val="003D304D"/>
    <w:rsid w:val="00424E22"/>
    <w:rsid w:val="004552AF"/>
    <w:rsid w:val="00474C8E"/>
    <w:rsid w:val="00482D20"/>
    <w:rsid w:val="00484114"/>
    <w:rsid w:val="00484C2E"/>
    <w:rsid w:val="004C2DEA"/>
    <w:rsid w:val="004D394E"/>
    <w:rsid w:val="004D7C5C"/>
    <w:rsid w:val="004E47F3"/>
    <w:rsid w:val="004F0608"/>
    <w:rsid w:val="004F0F41"/>
    <w:rsid w:val="004F2D58"/>
    <w:rsid w:val="004F6B67"/>
    <w:rsid w:val="005023D2"/>
    <w:rsid w:val="0052003A"/>
    <w:rsid w:val="00531761"/>
    <w:rsid w:val="005746DF"/>
    <w:rsid w:val="00577395"/>
    <w:rsid w:val="00590999"/>
    <w:rsid w:val="005973D6"/>
    <w:rsid w:val="005A1C6F"/>
    <w:rsid w:val="005B7BFA"/>
    <w:rsid w:val="005E6124"/>
    <w:rsid w:val="006006ED"/>
    <w:rsid w:val="006078AD"/>
    <w:rsid w:val="006140C9"/>
    <w:rsid w:val="0061562E"/>
    <w:rsid w:val="00627C71"/>
    <w:rsid w:val="006306F1"/>
    <w:rsid w:val="00656C46"/>
    <w:rsid w:val="00672753"/>
    <w:rsid w:val="00674C4B"/>
    <w:rsid w:val="00680983"/>
    <w:rsid w:val="00681952"/>
    <w:rsid w:val="006B06FB"/>
    <w:rsid w:val="006B7CF9"/>
    <w:rsid w:val="006C49F8"/>
    <w:rsid w:val="00703D0D"/>
    <w:rsid w:val="00715D15"/>
    <w:rsid w:val="00720ED4"/>
    <w:rsid w:val="007274E1"/>
    <w:rsid w:val="00730939"/>
    <w:rsid w:val="00745A11"/>
    <w:rsid w:val="007554B4"/>
    <w:rsid w:val="007651A4"/>
    <w:rsid w:val="00791DDF"/>
    <w:rsid w:val="00794D73"/>
    <w:rsid w:val="007B0932"/>
    <w:rsid w:val="007C73B2"/>
    <w:rsid w:val="007D1E03"/>
    <w:rsid w:val="007F3012"/>
    <w:rsid w:val="007F5B15"/>
    <w:rsid w:val="007F75F9"/>
    <w:rsid w:val="00805EAA"/>
    <w:rsid w:val="00815973"/>
    <w:rsid w:val="008219FB"/>
    <w:rsid w:val="00825120"/>
    <w:rsid w:val="008316A3"/>
    <w:rsid w:val="008524ED"/>
    <w:rsid w:val="00853D99"/>
    <w:rsid w:val="00856BBD"/>
    <w:rsid w:val="00857FF7"/>
    <w:rsid w:val="00860497"/>
    <w:rsid w:val="00871F9F"/>
    <w:rsid w:val="0087535E"/>
    <w:rsid w:val="008861F3"/>
    <w:rsid w:val="008A0EB3"/>
    <w:rsid w:val="008A764B"/>
    <w:rsid w:val="008B5973"/>
    <w:rsid w:val="008C3AEF"/>
    <w:rsid w:val="009008D9"/>
    <w:rsid w:val="00924B20"/>
    <w:rsid w:val="00937C8C"/>
    <w:rsid w:val="0094236F"/>
    <w:rsid w:val="00987392"/>
    <w:rsid w:val="009A4F59"/>
    <w:rsid w:val="009A58F3"/>
    <w:rsid w:val="009B3DA2"/>
    <w:rsid w:val="009D5127"/>
    <w:rsid w:val="009E4B05"/>
    <w:rsid w:val="009E558C"/>
    <w:rsid w:val="009F7D00"/>
    <w:rsid w:val="00A063D5"/>
    <w:rsid w:val="00A06DB7"/>
    <w:rsid w:val="00A14FCA"/>
    <w:rsid w:val="00A15F7A"/>
    <w:rsid w:val="00A44DE6"/>
    <w:rsid w:val="00A5318F"/>
    <w:rsid w:val="00A81792"/>
    <w:rsid w:val="00A81A6E"/>
    <w:rsid w:val="00AB38C1"/>
    <w:rsid w:val="00AB4ACD"/>
    <w:rsid w:val="00AD5D3D"/>
    <w:rsid w:val="00AE1E70"/>
    <w:rsid w:val="00AE4BA9"/>
    <w:rsid w:val="00AF70D5"/>
    <w:rsid w:val="00B11ED3"/>
    <w:rsid w:val="00B20C07"/>
    <w:rsid w:val="00B40FC7"/>
    <w:rsid w:val="00B42EC1"/>
    <w:rsid w:val="00B63717"/>
    <w:rsid w:val="00B66F01"/>
    <w:rsid w:val="00BD0192"/>
    <w:rsid w:val="00BD5559"/>
    <w:rsid w:val="00C07076"/>
    <w:rsid w:val="00C15606"/>
    <w:rsid w:val="00C40C46"/>
    <w:rsid w:val="00C60FF4"/>
    <w:rsid w:val="00C82B08"/>
    <w:rsid w:val="00C85750"/>
    <w:rsid w:val="00C957FE"/>
    <w:rsid w:val="00CD5D27"/>
    <w:rsid w:val="00CE2545"/>
    <w:rsid w:val="00CE671D"/>
    <w:rsid w:val="00CF757A"/>
    <w:rsid w:val="00D0307F"/>
    <w:rsid w:val="00D26996"/>
    <w:rsid w:val="00D56DB9"/>
    <w:rsid w:val="00D64BDB"/>
    <w:rsid w:val="00D764BF"/>
    <w:rsid w:val="00DA4F98"/>
    <w:rsid w:val="00DC16D0"/>
    <w:rsid w:val="00DD5B6C"/>
    <w:rsid w:val="00E02CDA"/>
    <w:rsid w:val="00E03785"/>
    <w:rsid w:val="00E115EB"/>
    <w:rsid w:val="00E1275B"/>
    <w:rsid w:val="00E2742A"/>
    <w:rsid w:val="00E347F4"/>
    <w:rsid w:val="00E34980"/>
    <w:rsid w:val="00E60721"/>
    <w:rsid w:val="00E6670D"/>
    <w:rsid w:val="00E72391"/>
    <w:rsid w:val="00E758F1"/>
    <w:rsid w:val="00E911C7"/>
    <w:rsid w:val="00E9642F"/>
    <w:rsid w:val="00EB0D1D"/>
    <w:rsid w:val="00EB7180"/>
    <w:rsid w:val="00EC4087"/>
    <w:rsid w:val="00ED659D"/>
    <w:rsid w:val="00EE5E5C"/>
    <w:rsid w:val="00F01F80"/>
    <w:rsid w:val="00F342EB"/>
    <w:rsid w:val="00F41C8F"/>
    <w:rsid w:val="00F42D35"/>
    <w:rsid w:val="00F56075"/>
    <w:rsid w:val="00F630A5"/>
    <w:rsid w:val="00F66BB0"/>
    <w:rsid w:val="00F706F8"/>
    <w:rsid w:val="00F904CB"/>
    <w:rsid w:val="00F9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0A3CFA1-18D7-47E6-BC61-2A0B34E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F5B1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customStyle="1" w:styleId="Nagwek2Znak">
    <w:name w:val="Nagłówek 2 Znak"/>
    <w:link w:val="Nagwek2"/>
    <w:rsid w:val="007F5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15F7A"/>
  </w:style>
  <w:style w:type="character" w:styleId="Hipercze">
    <w:name w:val="Hyperlink"/>
    <w:uiPriority w:val="99"/>
    <w:unhideWhenUsed/>
    <w:rsid w:val="00A15F7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15F7A"/>
    <w:rPr>
      <w:color w:val="800080"/>
      <w:u w:val="single"/>
    </w:rPr>
  </w:style>
  <w:style w:type="paragraph" w:styleId="Tekstdymka">
    <w:name w:val="Balloon Text"/>
    <w:basedOn w:val="Normalny"/>
    <w:link w:val="TekstdymkaZnak"/>
    <w:unhideWhenUsed/>
    <w:rsid w:val="00A15F7A"/>
    <w:pPr>
      <w:spacing w:after="0" w:line="240" w:lineRule="auto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A15F7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F7A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15F7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15F7A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rsid w:val="00A15F7A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15F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15F7A"/>
    <w:pPr>
      <w:numPr>
        <w:numId w:val="9"/>
      </w:numPr>
      <w:tabs>
        <w:tab w:val="clear" w:pos="360"/>
      </w:tabs>
      <w:ind w:left="720"/>
      <w:contextualSpacing/>
    </w:pPr>
    <w:rPr>
      <w:rFonts w:eastAsia="Calibri"/>
      <w:lang w:eastAsia="en-US"/>
    </w:rPr>
  </w:style>
  <w:style w:type="character" w:customStyle="1" w:styleId="block">
    <w:name w:val="block"/>
    <w:rsid w:val="00A15F7A"/>
  </w:style>
  <w:style w:type="character" w:styleId="Pogrubienie">
    <w:name w:val="Strong"/>
    <w:qFormat/>
    <w:rsid w:val="00A15F7A"/>
    <w:rPr>
      <w:b/>
      <w:bCs/>
    </w:rPr>
  </w:style>
  <w:style w:type="paragraph" w:styleId="Bezodstpw">
    <w:name w:val="No Spacing"/>
    <w:uiPriority w:val="1"/>
    <w:qFormat/>
    <w:rsid w:val="00A15F7A"/>
    <w:rPr>
      <w:rFonts w:eastAsia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15F7A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A15F7A"/>
  </w:style>
  <w:style w:type="character" w:styleId="Uwydatnienie">
    <w:name w:val="Emphasis"/>
    <w:uiPriority w:val="20"/>
    <w:qFormat/>
    <w:rsid w:val="00A15F7A"/>
    <w:rPr>
      <w:i/>
      <w:iCs/>
    </w:rPr>
  </w:style>
  <w:style w:type="paragraph" w:customStyle="1" w:styleId="Default">
    <w:name w:val="Default"/>
    <w:uiPriority w:val="99"/>
    <w:rsid w:val="0098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508F-E631-47F0-B0E8-EA4F055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Links>
    <vt:vector size="156" baseType="variant"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1179723</vt:i4>
      </vt:variant>
      <vt:variant>
        <vt:i4>72</vt:i4>
      </vt:variant>
      <vt:variant>
        <vt:i4>0</vt:i4>
      </vt:variant>
      <vt:variant>
        <vt:i4>5</vt:i4>
      </vt:variant>
      <vt:variant>
        <vt:lpwstr>http://opac.ksiaznica.torun.pl/cgi-bin/wspd_cgi.sh/wo_ropis.p?IDRek=1282504289101%3c/mods:url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60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39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36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33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24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J:\WiMBP\_Kompilacja 01\METS\R 829.1932\Glos_Krajny_Oredownik_Powiatowy\1932\Nr018\Obiekt-WiMBP-018522.xml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page=29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http://www2.oss.wroc.pl/wp-content/uploads/2014/03/DZP-2621-2-2014-Konserwacja-200-dokumentow.pdf</vt:lpwstr>
      </vt:variant>
      <vt:variant>
        <vt:lpwstr>page=28</vt:lpwstr>
      </vt:variant>
      <vt:variant>
        <vt:i4>7012439</vt:i4>
      </vt:variant>
      <vt:variant>
        <vt:i4>9</vt:i4>
      </vt:variant>
      <vt:variant>
        <vt:i4>0</vt:i4>
      </vt:variant>
      <vt:variant>
        <vt:i4>5</vt:i4>
      </vt:variant>
      <vt:variant>
        <vt:lpwstr>mailto:adam.doman@wimbp.bydgoszcz.pl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https://www.bn.org.pl/uslugi/centrum-kompetencji/warunki-przekazywania-obiektow-cyfrowych-do-bn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mailto:sekretariat@wimbp.bydgoszcz.pl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</cp:lastModifiedBy>
  <cp:revision>14</cp:revision>
  <cp:lastPrinted>2020-05-12T13:43:00Z</cp:lastPrinted>
  <dcterms:created xsi:type="dcterms:W3CDTF">2024-04-23T10:16:00Z</dcterms:created>
  <dcterms:modified xsi:type="dcterms:W3CDTF">2024-04-25T06:39:00Z</dcterms:modified>
</cp:coreProperties>
</file>