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CB7C" w14:textId="2A7D03AF" w:rsidR="00CB205D" w:rsidRPr="004638D8" w:rsidRDefault="00CB205D" w:rsidP="00991ABC">
      <w:pPr>
        <w:suppressAutoHyphens/>
        <w:autoSpaceDN w:val="0"/>
        <w:spacing w:after="0" w:line="276" w:lineRule="auto"/>
        <w:jc w:val="right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46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Torzym, </w:t>
      </w:r>
      <w:r w:rsidR="00644F61" w:rsidRPr="004638D8">
        <w:rPr>
          <w:rFonts w:ascii="Times New Roman" w:eastAsia="SimSun" w:hAnsi="Times New Roman" w:cs="Times New Roman"/>
          <w:kern w:val="3"/>
          <w:sz w:val="24"/>
          <w:szCs w:val="24"/>
        </w:rPr>
        <w:t>2</w:t>
      </w:r>
      <w:r w:rsidR="002347E2" w:rsidRPr="004638D8">
        <w:rPr>
          <w:rFonts w:ascii="Times New Roman" w:eastAsia="SimSun" w:hAnsi="Times New Roman" w:cs="Times New Roman"/>
          <w:kern w:val="3"/>
          <w:sz w:val="24"/>
          <w:szCs w:val="24"/>
        </w:rPr>
        <w:t>4</w:t>
      </w:r>
      <w:r w:rsidRPr="004638D8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r w:rsidR="00644F61" w:rsidRPr="004638D8">
        <w:rPr>
          <w:rFonts w:ascii="Times New Roman" w:eastAsia="SimSun" w:hAnsi="Times New Roman" w:cs="Times New Roman"/>
          <w:kern w:val="3"/>
          <w:sz w:val="24"/>
          <w:szCs w:val="24"/>
        </w:rPr>
        <w:t>11</w:t>
      </w:r>
      <w:r w:rsidRPr="0046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.2023 r. </w:t>
      </w:r>
    </w:p>
    <w:p w14:paraId="48541502" w14:textId="5CE07B34" w:rsidR="00CB205D" w:rsidRPr="004638D8" w:rsidRDefault="00CB205D" w:rsidP="00CB2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638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sprawy: </w:t>
      </w:r>
      <w:r w:rsidRPr="004638D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BGN.II.271.</w:t>
      </w:r>
      <w:r w:rsidR="00644F61" w:rsidRPr="004638D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13</w:t>
      </w:r>
      <w:r w:rsidRPr="004638D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.2023</w:t>
      </w:r>
    </w:p>
    <w:p w14:paraId="5CB6DA12" w14:textId="77777777" w:rsidR="00CB205D" w:rsidRPr="004638D8" w:rsidRDefault="00CB205D" w:rsidP="00CB20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8D767" w14:textId="77777777" w:rsidR="00CB205D" w:rsidRPr="004638D8" w:rsidRDefault="00CB205D" w:rsidP="00CB20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Zamawiający: </w:t>
      </w:r>
    </w:p>
    <w:p w14:paraId="32CC75B7" w14:textId="77777777" w:rsidR="00CB205D" w:rsidRPr="004638D8" w:rsidRDefault="00CB205D" w:rsidP="00CB205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38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i Gmina Torzym</w:t>
      </w:r>
    </w:p>
    <w:p w14:paraId="68CCCB83" w14:textId="77777777" w:rsidR="00CB205D" w:rsidRPr="004638D8" w:rsidRDefault="00CB205D" w:rsidP="00CB205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38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Wojska Polskiego 32</w:t>
      </w:r>
    </w:p>
    <w:p w14:paraId="13A85F39" w14:textId="77777777" w:rsidR="00CB205D" w:rsidRPr="004638D8" w:rsidRDefault="00CB205D" w:rsidP="00CB205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38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66-235 Torzym</w:t>
      </w:r>
    </w:p>
    <w:p w14:paraId="3D59C022" w14:textId="77777777" w:rsidR="00CB205D" w:rsidRPr="004638D8" w:rsidRDefault="00CB205D" w:rsidP="00CB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2CBB8F" w14:textId="0D947351" w:rsidR="00CB205D" w:rsidRPr="004638D8" w:rsidRDefault="00CB205D" w:rsidP="00CB20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6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Modyfikacja treści SWZ</w:t>
      </w:r>
      <w:r w:rsidR="006F30D4" w:rsidRPr="0046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F1BD0" w:rsidRPr="0046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zmiana </w:t>
      </w:r>
      <w:r w:rsidR="00CA3633" w:rsidRPr="0046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treści </w:t>
      </w:r>
      <w:r w:rsidR="00BF1BD0" w:rsidRPr="0046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ogłoszenia </w:t>
      </w:r>
    </w:p>
    <w:p w14:paraId="4A24234E" w14:textId="77777777" w:rsidR="00CB205D" w:rsidRPr="004638D8" w:rsidRDefault="00CB205D" w:rsidP="00CB20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6B56AD" w14:textId="77777777" w:rsidR="00CB205D" w:rsidRPr="004638D8" w:rsidRDefault="00CB205D" w:rsidP="00CB20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6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Wszyscy uczestnicy postępowania</w:t>
      </w:r>
    </w:p>
    <w:p w14:paraId="1BE927E8" w14:textId="77777777" w:rsidR="00CB205D" w:rsidRPr="004638D8" w:rsidRDefault="00CB205D" w:rsidP="00CB20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AC942C" w14:textId="7CD14944" w:rsidR="00E26445" w:rsidRPr="004638D8" w:rsidRDefault="00CB205D" w:rsidP="00E26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</w:t>
      </w:r>
      <w:r w:rsidRPr="004638D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postępowania o udzielenie zamówienia pn.: </w:t>
      </w:r>
      <w:r w:rsidR="00827AF6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„</w:t>
      </w:r>
      <w:proofErr w:type="spellStart"/>
      <w:r w:rsidR="00E26445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Ś</w:t>
      </w:r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wiadczenie</w:t>
      </w:r>
      <w:proofErr w:type="spellEnd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usługi</w:t>
      </w:r>
      <w:proofErr w:type="spellEnd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kompleksowej</w:t>
      </w:r>
      <w:proofErr w:type="spellEnd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polegającej</w:t>
      </w:r>
      <w:proofErr w:type="spellEnd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 xml:space="preserve"> na </w:t>
      </w:r>
      <w:proofErr w:type="spellStart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dostawie</w:t>
      </w:r>
      <w:proofErr w:type="spellEnd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energii</w:t>
      </w:r>
      <w:proofErr w:type="spellEnd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wraz</w:t>
      </w:r>
      <w:proofErr w:type="spellEnd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 xml:space="preserve"> z </w:t>
      </w:r>
      <w:proofErr w:type="spellStart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usługą</w:t>
      </w:r>
      <w:proofErr w:type="spellEnd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dystrybucji</w:t>
      </w:r>
      <w:proofErr w:type="spellEnd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energii</w:t>
      </w:r>
      <w:proofErr w:type="spellEnd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elektrycznej</w:t>
      </w:r>
      <w:proofErr w:type="spellEnd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 xml:space="preserve"> na </w:t>
      </w:r>
      <w:proofErr w:type="spellStart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potrzeby</w:t>
      </w:r>
      <w:proofErr w:type="spellEnd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zamawiającego</w:t>
      </w:r>
      <w:proofErr w:type="spellEnd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oraz</w:t>
      </w:r>
      <w:proofErr w:type="spellEnd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644F61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po</w:t>
      </w:r>
      <w:r w:rsidR="00E26445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dległych</w:t>
      </w:r>
      <w:proofErr w:type="spellEnd"/>
      <w:r w:rsidR="00E26445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E26445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jednostkach</w:t>
      </w:r>
      <w:proofErr w:type="spellEnd"/>
      <w:r w:rsidR="00E26445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="00E26445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organizacyjnych</w:t>
      </w:r>
      <w:proofErr w:type="spellEnd"/>
      <w:r w:rsidR="007573B2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“</w:t>
      </w:r>
    </w:p>
    <w:p w14:paraId="46D7F7E9" w14:textId="41C822A0" w:rsidR="00CB205D" w:rsidRPr="004638D8" w:rsidRDefault="00E26445" w:rsidP="00E2644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CB205D" w:rsidRPr="004638D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znak postępowania: BGN.II.271.</w:t>
      </w:r>
      <w:r w:rsidRPr="004638D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13</w:t>
      </w:r>
      <w:r w:rsidR="00CB205D" w:rsidRPr="004638D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.2023</w:t>
      </w:r>
    </w:p>
    <w:p w14:paraId="664E8447" w14:textId="348362AB" w:rsidR="00CB205D" w:rsidRPr="004638D8" w:rsidRDefault="00CB205D" w:rsidP="00CB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zamówieniu zamieszczone w </w:t>
      </w:r>
      <w:r w:rsidR="002347E2"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Dzienniku Urzędowym Unii Europejskiej</w:t>
      </w:r>
      <w:r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</w:t>
      </w:r>
      <w:r w:rsidR="007573B2"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>2023-</w:t>
      </w:r>
      <w:r w:rsidR="00E26445"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347E2"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</w:t>
      </w:r>
      <w:r w:rsidRPr="004638D8">
        <w:rPr>
          <w:rFonts w:ascii="Times New Roman" w:hAnsi="Times New Roman" w:cs="Times New Roman"/>
          <w:sz w:val="24"/>
          <w:szCs w:val="24"/>
        </w:rPr>
        <w:t xml:space="preserve"> 2023/</w:t>
      </w:r>
      <w:r w:rsidR="002347E2" w:rsidRPr="004638D8">
        <w:rPr>
          <w:rFonts w:ascii="Times New Roman" w:hAnsi="Times New Roman" w:cs="Times New Roman"/>
          <w:sz w:val="24"/>
          <w:szCs w:val="24"/>
        </w:rPr>
        <w:t>S</w:t>
      </w:r>
      <w:r w:rsidRPr="004638D8">
        <w:rPr>
          <w:rFonts w:ascii="Times New Roman" w:hAnsi="Times New Roman" w:cs="Times New Roman"/>
          <w:sz w:val="24"/>
          <w:szCs w:val="24"/>
        </w:rPr>
        <w:t xml:space="preserve"> </w:t>
      </w:r>
      <w:r w:rsidR="002347E2" w:rsidRPr="004638D8">
        <w:rPr>
          <w:rFonts w:ascii="Times New Roman" w:hAnsi="Times New Roman" w:cs="Times New Roman"/>
          <w:sz w:val="24"/>
          <w:szCs w:val="24"/>
        </w:rPr>
        <w:t>215-677432</w:t>
      </w:r>
    </w:p>
    <w:p w14:paraId="188F1257" w14:textId="77777777" w:rsidR="00CB205D" w:rsidRPr="004638D8" w:rsidRDefault="00CB205D" w:rsidP="00CB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9C7F2E" w14:textId="5F435452" w:rsidR="00CA3633" w:rsidRPr="004638D8" w:rsidRDefault="00CA3633" w:rsidP="00CA3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na podstawie art. 286 ust. 1 ustawy z 11 września 2019 r. –Prawo zamówień publicznych (tj. Dz.U. z 2022 poz. 1710 z </w:t>
      </w:r>
      <w:proofErr w:type="spellStart"/>
      <w:r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zmienia treść ogłoszenia oraz treść SWZ w niezbędnym zakresie.</w:t>
      </w:r>
    </w:p>
    <w:p w14:paraId="56A6E3AC" w14:textId="77777777" w:rsidR="00827AF6" w:rsidRPr="004638D8" w:rsidRDefault="00827AF6" w:rsidP="00CB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B18AC6" w14:textId="366452E8" w:rsidR="0094600D" w:rsidRPr="004638D8" w:rsidRDefault="00827AF6" w:rsidP="00827AF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6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A1EBC" w:rsidRPr="0046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sekcji</w:t>
      </w:r>
      <w:r w:rsidR="00CA3633" w:rsidRPr="0046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A1EBC" w:rsidRPr="0046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7573B2" w:rsidRPr="0046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CA3633" w:rsidRPr="0046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A1EBC" w:rsidRPr="0046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CA3633" w:rsidRPr="0046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573B2" w:rsidRPr="0046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</w:t>
      </w:r>
      <w:r w:rsidR="00AA1EBC" w:rsidRPr="0046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</w:p>
    <w:p w14:paraId="0F09F179" w14:textId="1FAEEB90" w:rsidR="007573B2" w:rsidRPr="004638D8" w:rsidRDefault="00CA3633" w:rsidP="004638D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8D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8D4B6E" w:rsidRPr="004638D8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Pr="004638D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D4B6E" w:rsidRPr="004638D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7573B2" w:rsidRPr="004638D8">
        <w:rPr>
          <w:rFonts w:ascii="Times New Roman" w:hAnsi="Times New Roman" w:cs="Times New Roman"/>
          <w:b/>
          <w:bCs/>
          <w:sz w:val="24"/>
          <w:szCs w:val="24"/>
        </w:rPr>
        <w:t>Krótki opis:</w:t>
      </w:r>
    </w:p>
    <w:p w14:paraId="622948FF" w14:textId="77777777" w:rsidR="007573B2" w:rsidRPr="004638D8" w:rsidRDefault="007573B2" w:rsidP="007573B2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Przedmiotem zamówienia jest kompleksowa dostawa (obejmująca dostawę i świadczenie usług dystrybucji) energii elektrycznej do 161 punktów poboru (PPE) o łącznym szacowanym wolumenie 1043,47 MWh w okresie od dnia 01.01.2024 r. do 31.12.2024 r.</w:t>
      </w:r>
    </w:p>
    <w:p w14:paraId="64E25625" w14:textId="77777777" w:rsidR="007573B2" w:rsidRPr="004638D8" w:rsidRDefault="007573B2" w:rsidP="007573B2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 xml:space="preserve">W ramach realizacji przedmiotu zamówienia wykonawca zobowiązany będzie do dostarczania energii elektrycznej oraz zapewnienia usługi </w:t>
      </w:r>
      <w:proofErr w:type="spellStart"/>
      <w:r w:rsidRPr="004638D8">
        <w:rPr>
          <w:rFonts w:ascii="Times New Roman" w:hAnsi="Times New Roman" w:cs="Times New Roman"/>
        </w:rPr>
        <w:t>przesyłu</w:t>
      </w:r>
      <w:proofErr w:type="spellEnd"/>
      <w:r w:rsidRPr="004638D8">
        <w:rPr>
          <w:rFonts w:ascii="Times New Roman" w:hAnsi="Times New Roman" w:cs="Times New Roman"/>
        </w:rPr>
        <w:t>. Realizacja zamówienia winna odbywać się zgodnie z przepisami ustawy z dnia 10.04.1997 r. Prawo energetyczne oraz aktami wykonawczymi do tej ustawy.</w:t>
      </w:r>
    </w:p>
    <w:p w14:paraId="7F7F082B" w14:textId="77777777" w:rsidR="009F2C31" w:rsidRPr="004638D8" w:rsidRDefault="009F2C31" w:rsidP="00CB2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A905D" w14:textId="7263F370" w:rsidR="008D4B6E" w:rsidRPr="004638D8" w:rsidRDefault="006F66C5" w:rsidP="00CB2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8D8">
        <w:rPr>
          <w:rFonts w:ascii="Times New Roman" w:hAnsi="Times New Roman" w:cs="Times New Roman"/>
          <w:sz w:val="24"/>
          <w:szCs w:val="24"/>
        </w:rPr>
        <w:t>Po zmianie treści jest:</w:t>
      </w:r>
    </w:p>
    <w:p w14:paraId="301AC03A" w14:textId="77777777" w:rsidR="009F2C31" w:rsidRPr="004638D8" w:rsidRDefault="009F2C31" w:rsidP="006F66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709B6" w14:textId="44C9F781" w:rsidR="006F66C5" w:rsidRPr="004638D8" w:rsidRDefault="004638D8" w:rsidP="006F6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7573B2" w:rsidRPr="004638D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8D4B6E" w:rsidRPr="004638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573B2" w:rsidRPr="004638D8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="008D4B6E" w:rsidRPr="004638D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6F66C5" w:rsidRPr="004638D8">
        <w:rPr>
          <w:rFonts w:ascii="Times New Roman" w:hAnsi="Times New Roman" w:cs="Times New Roman"/>
          <w:b/>
          <w:bCs/>
          <w:sz w:val="24"/>
          <w:szCs w:val="24"/>
        </w:rPr>
        <w:t>Krótki opis</w:t>
      </w:r>
      <w:r w:rsidR="008D4B6E" w:rsidRPr="004638D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3C7955" w14:textId="77777777" w:rsidR="006F66C5" w:rsidRPr="004638D8" w:rsidRDefault="006F66C5" w:rsidP="006F66C5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Przedmiotem zamówienia jest kompleksowa dostawa (obejmująca dostawę i świadczenie usług dystrybucji) energii elektrycznej do 177 punktów poboru (PPE) o łącznym szacowanym wolumenie 1926,36 MWh w okresie od dnia 01.01.2024 r. do 31.12.2024 r.</w:t>
      </w:r>
    </w:p>
    <w:p w14:paraId="0907B981" w14:textId="77777777" w:rsidR="006F66C5" w:rsidRPr="004638D8" w:rsidRDefault="006F66C5" w:rsidP="006F66C5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 xml:space="preserve">W ramach realizacji przedmiotu zamówienia wykonawca zobowiązany będzie do dostarczania energii elektrycznej oraz zapewnienia usługi </w:t>
      </w:r>
      <w:proofErr w:type="spellStart"/>
      <w:r w:rsidRPr="004638D8">
        <w:rPr>
          <w:rFonts w:ascii="Times New Roman" w:hAnsi="Times New Roman" w:cs="Times New Roman"/>
        </w:rPr>
        <w:t>przesyłu</w:t>
      </w:r>
      <w:proofErr w:type="spellEnd"/>
      <w:r w:rsidRPr="004638D8">
        <w:rPr>
          <w:rFonts w:ascii="Times New Roman" w:hAnsi="Times New Roman" w:cs="Times New Roman"/>
        </w:rPr>
        <w:t>. Realizacja zamówienia winna odbywać się zgodnie z przepisami ustawy z dnia 10.04.1997 r. Prawo energetyczne oraz aktami wykonawczymi do tej ustawy.</w:t>
      </w:r>
    </w:p>
    <w:p w14:paraId="00662ECC" w14:textId="07B5BDAA" w:rsidR="00F154DA" w:rsidRPr="004638D8" w:rsidRDefault="009F2C31" w:rsidP="006F66C5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 xml:space="preserve"> </w:t>
      </w:r>
    </w:p>
    <w:p w14:paraId="410082CC" w14:textId="38E6F7E9" w:rsidR="006F66C5" w:rsidRPr="004638D8" w:rsidRDefault="004638D8" w:rsidP="004638D8">
      <w:pPr>
        <w:pStyle w:val="Akapitzlist"/>
        <w:spacing w:after="0" w:line="240" w:lineRule="auto"/>
        <w:ind w:hanging="29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 </w:t>
      </w:r>
      <w:r w:rsidR="006F66C5" w:rsidRPr="004638D8">
        <w:rPr>
          <w:rFonts w:ascii="Times New Roman" w:hAnsi="Times New Roman" w:cs="Times New Roman"/>
          <w:b/>
          <w:bCs/>
          <w:sz w:val="24"/>
          <w:szCs w:val="24"/>
        </w:rPr>
        <w:t>II.2.4) Opis zamówienia:</w:t>
      </w:r>
    </w:p>
    <w:p w14:paraId="6818A181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1. Przedmiotem zamówienia jest kompleksowa dostawa (obejmująca dostawę i świadczenie usług dystrybucji) energii elektrycznej do 161 punktów poboru (PPE) o łącznym szacowanym wolumenie 1043,47 MWh w okresie od dnia 01.01.2024 r. do 31.12.2024 r.</w:t>
      </w:r>
    </w:p>
    <w:p w14:paraId="13F8B599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lastRenderedPageBreak/>
        <w:t xml:space="preserve">2. W ramach realizacji przedmiotu zamówienia wykonawca zobowiązany będzie do dostarczania energii elektrycznej oraz zapewnienia usługi </w:t>
      </w:r>
      <w:proofErr w:type="spellStart"/>
      <w:r w:rsidRPr="004638D8">
        <w:rPr>
          <w:rFonts w:ascii="Times New Roman" w:hAnsi="Times New Roman" w:cs="Times New Roman"/>
        </w:rPr>
        <w:t>przesyłu</w:t>
      </w:r>
      <w:proofErr w:type="spellEnd"/>
      <w:r w:rsidRPr="004638D8">
        <w:rPr>
          <w:rFonts w:ascii="Times New Roman" w:hAnsi="Times New Roman" w:cs="Times New Roman"/>
        </w:rPr>
        <w:t>. Realizacja zamówienia winna odbywać się zgodnie z przepisami ustawy z dnia 10.04.1997 r. Prawo energetyczne oraz aktami wykonawczymi do tej ustawy.</w:t>
      </w:r>
    </w:p>
    <w:p w14:paraId="475B58FE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3. Szczegóły dotyczące zużycia energii elektrycznej w poszczególnych punktach poboru opisane zostały w Załączniku nr 1 do SWZ Wykaz punktów poboru, z czego:</w:t>
      </w:r>
    </w:p>
    <w:p w14:paraId="1671DAC6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1) Pozycje od 1 do 51 stanowią oświetlenie uliczne — 335,54 MWh,</w:t>
      </w:r>
    </w:p>
    <w:p w14:paraId="28E290E2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2) Pozycje od 52 do 161 stanowią obiekty — 743,13 MWh.</w:t>
      </w:r>
    </w:p>
    <w:p w14:paraId="775EF6DB" w14:textId="01D4E141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 xml:space="preserve">4. Wskazane powyżej prognozowane zużycie energii elektrycznej ma charakter orientacyjny i może odbiegać od faktycznie pobranej, w okresie trwania umowy, ilości energii. Zmniejszenie lub zwiększenie ilości energii elektrycznej nie pociąga dla zamawiających (odbiorców) żadnych konsekwencji, poza koniecznością dokonania zapłaty za faktycznie pobraną ilość energii oraz usługi </w:t>
      </w:r>
      <w:proofErr w:type="spellStart"/>
      <w:r w:rsidRPr="004638D8">
        <w:rPr>
          <w:rFonts w:ascii="Times New Roman" w:hAnsi="Times New Roman" w:cs="Times New Roman"/>
        </w:rPr>
        <w:t>przesyłu</w:t>
      </w:r>
      <w:proofErr w:type="spellEnd"/>
      <w:r w:rsidRPr="004638D8">
        <w:rPr>
          <w:rFonts w:ascii="Times New Roman" w:hAnsi="Times New Roman" w:cs="Times New Roman"/>
        </w:rPr>
        <w:t xml:space="preserve"> zgodnie z obowiązującą Taryfą Operatora, Wykonawca winien uwzględnić wahanie poboru na poziomie (+/-) 10%. Jednocześnie zamawiający deklaruje zakup energii w ilości nie mniejszej niż 95% szacowanego wolumenu.</w:t>
      </w:r>
    </w:p>
    <w:p w14:paraId="1131189C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5. Standardy jakościowe:</w:t>
      </w:r>
    </w:p>
    <w:p w14:paraId="2389E5A0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1) Przedmiotem zamówienia są dostawy energii elektrycznej o określonych, zgodnie z obowiązującymi przepisami, standardach jakościowych.</w:t>
      </w:r>
    </w:p>
    <w:p w14:paraId="7C3AF381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2) Standardy jakościowe energii elektrycznej opisane są w ustawie z dnia 10 kwietnia 1997r. — Prawo energetyczne oraz w Rozporządzeniu Ministra Gospodarki z dnia 4 maja 2007r. w sprawie szczegółowych warunków funkcjonowania systemu elektroenergetycznego ze zmianami. Zasady kształtowania i kalkulacji taryf oraz rozliczeń w obrocie energią elektryczną określa Rozporządzenie Ministra Energii z dnia 6 marca 2019 r. ze zmianami;</w:t>
      </w:r>
    </w:p>
    <w:p w14:paraId="7C9C8788" w14:textId="5ED227A5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3) Standardy dotyczące dystrybucji energii elektrycznej zawarte są w Taryfie Operatora, która określa:</w:t>
      </w:r>
    </w:p>
    <w:p w14:paraId="1C086D5C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- grupy taryfowe i szczegółowe kryteria kwalifikowania odbiorców do tych grup;</w:t>
      </w:r>
    </w:p>
    <w:p w14:paraId="0A582D21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 xml:space="preserve">- sposób ustalania opłat za przyłączenie do sieci Operatora, zaś w przypadku przyłączenia do sieci o napięciu znamionowym nie wyższym niż 1 </w:t>
      </w:r>
      <w:proofErr w:type="spellStart"/>
      <w:r w:rsidRPr="004638D8">
        <w:rPr>
          <w:rFonts w:ascii="Times New Roman" w:hAnsi="Times New Roman" w:cs="Times New Roman"/>
        </w:rPr>
        <w:t>kV</w:t>
      </w:r>
      <w:proofErr w:type="spellEnd"/>
      <w:r w:rsidRPr="004638D8">
        <w:rPr>
          <w:rFonts w:ascii="Times New Roman" w:hAnsi="Times New Roman" w:cs="Times New Roman"/>
        </w:rPr>
        <w:t xml:space="preserve"> także ryczałtowe stawki opłat;</w:t>
      </w:r>
    </w:p>
    <w:p w14:paraId="73C80222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- stawki opłat za świadczenie usługi dystrybucji i warunki ich stosowania, z uwzględnieniem podziału</w:t>
      </w:r>
    </w:p>
    <w:p w14:paraId="5B06C690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na stawki wynikające z:</w:t>
      </w:r>
    </w:p>
    <w:p w14:paraId="2DFC7807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• dystrybucji energii elektrycznej (składniki zmienne i stałe stawki sieciowej),</w:t>
      </w:r>
    </w:p>
    <w:p w14:paraId="499565BB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• korzystania z krajowego systemu elektroenergetycznego (stawki jakościowe),</w:t>
      </w:r>
    </w:p>
    <w:p w14:paraId="036C91D3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• odczytywania wskazań układów pomiarowo-rozliczeniowych i ich bieżącej kontroli (stawki abonamentowe),</w:t>
      </w:r>
    </w:p>
    <w:p w14:paraId="77230BCA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przedterminowego rozwiązania kontraktów długoterminowych (stawki opłaty przejściowej),</w:t>
      </w:r>
    </w:p>
    <w:p w14:paraId="168830CF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• zapewnienia dostępności energii elektrycznej ze źródeł odnawialnych w krajowym systemie</w:t>
      </w:r>
    </w:p>
    <w:p w14:paraId="01C52263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elektroenergetycznym (stawka opłaty OZE);</w:t>
      </w:r>
    </w:p>
    <w:p w14:paraId="02C4D163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 xml:space="preserve">• zapewnienia średnioterminowego i długoterminowego bezpieczeństwa dostaw energii elektrycznej do odbiorców końcowych (stawka opłaty </w:t>
      </w:r>
      <w:proofErr w:type="spellStart"/>
      <w:r w:rsidRPr="004638D8">
        <w:rPr>
          <w:rFonts w:ascii="Times New Roman" w:hAnsi="Times New Roman" w:cs="Times New Roman"/>
        </w:rPr>
        <w:t>mocowej</w:t>
      </w:r>
      <w:proofErr w:type="spellEnd"/>
      <w:r w:rsidRPr="004638D8">
        <w:rPr>
          <w:rFonts w:ascii="Times New Roman" w:hAnsi="Times New Roman" w:cs="Times New Roman"/>
        </w:rPr>
        <w:t>);</w:t>
      </w:r>
    </w:p>
    <w:p w14:paraId="53A176E4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- sposób ustalania bonifikat za niedotrzymanie parametrów jakościowych energii elektrycznej</w:t>
      </w:r>
    </w:p>
    <w:p w14:paraId="745AF4F1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i standardów jakościowych obsługi odbiorców;</w:t>
      </w:r>
    </w:p>
    <w:p w14:paraId="6073BE3B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- sposób ustalania opłat za:</w:t>
      </w:r>
    </w:p>
    <w:p w14:paraId="5355C0DD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 xml:space="preserve">a) </w:t>
      </w:r>
      <w:proofErr w:type="spellStart"/>
      <w:r w:rsidRPr="004638D8">
        <w:rPr>
          <w:rFonts w:ascii="Times New Roman" w:hAnsi="Times New Roman" w:cs="Times New Roman"/>
        </w:rPr>
        <w:t>ponadumowny</w:t>
      </w:r>
      <w:proofErr w:type="spellEnd"/>
      <w:r w:rsidRPr="004638D8">
        <w:rPr>
          <w:rFonts w:ascii="Times New Roman" w:hAnsi="Times New Roman" w:cs="Times New Roman"/>
        </w:rPr>
        <w:t xml:space="preserve"> pobór energii biernej,</w:t>
      </w:r>
    </w:p>
    <w:p w14:paraId="1BD4B98D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b) przekroczenia mocy umownej,</w:t>
      </w:r>
    </w:p>
    <w:p w14:paraId="4ADF12D7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c) nielegalny pobór energii elektrycznej,</w:t>
      </w:r>
    </w:p>
    <w:p w14:paraId="6AE299EB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- opłaty za usługi wykonywane na dodatkowe zlecenie odbiorcy;</w:t>
      </w:r>
    </w:p>
    <w:p w14:paraId="1237C815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- opłaty za wznowienie dostarczania energii elektrycznej po wstrzymaniu jej dostaw.</w:t>
      </w:r>
    </w:p>
    <w:p w14:paraId="5345332F" w14:textId="77777777" w:rsidR="00F154DA" w:rsidRDefault="00F154DA" w:rsidP="00F154DA">
      <w:pPr>
        <w:pStyle w:val="Default"/>
        <w:rPr>
          <w:rFonts w:ascii="Times New Roman" w:hAnsi="Times New Roman" w:cs="Times New Roman"/>
        </w:rPr>
      </w:pPr>
    </w:p>
    <w:p w14:paraId="0CAC3094" w14:textId="77777777" w:rsidR="004638D8" w:rsidRPr="004638D8" w:rsidRDefault="004638D8" w:rsidP="00F154DA">
      <w:pPr>
        <w:pStyle w:val="Default"/>
        <w:rPr>
          <w:rFonts w:ascii="Times New Roman" w:hAnsi="Times New Roman" w:cs="Times New Roman"/>
        </w:rPr>
      </w:pPr>
    </w:p>
    <w:p w14:paraId="01037CEA" w14:textId="304653B3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lastRenderedPageBreak/>
        <w:t xml:space="preserve">Po zmianie </w:t>
      </w:r>
      <w:r w:rsidR="00AC4089">
        <w:rPr>
          <w:rFonts w:ascii="Times New Roman" w:hAnsi="Times New Roman" w:cs="Times New Roman"/>
        </w:rPr>
        <w:t xml:space="preserve">treści </w:t>
      </w:r>
      <w:r w:rsidRPr="004638D8">
        <w:rPr>
          <w:rFonts w:ascii="Times New Roman" w:hAnsi="Times New Roman" w:cs="Times New Roman"/>
        </w:rPr>
        <w:t>jest:</w:t>
      </w:r>
    </w:p>
    <w:p w14:paraId="44EE946B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</w:p>
    <w:p w14:paraId="73B1F880" w14:textId="77777777" w:rsidR="00F154DA" w:rsidRPr="004638D8" w:rsidRDefault="00F154DA" w:rsidP="00F154DA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38D8">
        <w:rPr>
          <w:rFonts w:ascii="Times New Roman" w:hAnsi="Times New Roman" w:cs="Times New Roman"/>
          <w:b/>
          <w:bCs/>
          <w:sz w:val="24"/>
          <w:szCs w:val="24"/>
        </w:rPr>
        <w:t>II.2.4) Opis zamówienia:</w:t>
      </w:r>
    </w:p>
    <w:p w14:paraId="0CAB5964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1. Przedmiotem zamówienia jest kompleksowa dostawa (obejmująca dostawę i świadczenie usług dystrybucji) energii elektrycznej do 177 punktów poboru (PPE) o łącznym szacowanym wolumenie 1926,36 MWh w okresie od dnia 01.01.2024 r. do 31.12.2024 r.</w:t>
      </w:r>
    </w:p>
    <w:p w14:paraId="2491021C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 xml:space="preserve">2. W ramach realizacji przedmiotu zamówienia wykonawca zobowiązany będzie do dostarczania energii elektrycznej oraz zapewnienia usługi </w:t>
      </w:r>
      <w:proofErr w:type="spellStart"/>
      <w:r w:rsidRPr="004638D8">
        <w:rPr>
          <w:rFonts w:ascii="Times New Roman" w:hAnsi="Times New Roman" w:cs="Times New Roman"/>
        </w:rPr>
        <w:t>przesyłu</w:t>
      </w:r>
      <w:proofErr w:type="spellEnd"/>
      <w:r w:rsidRPr="004638D8">
        <w:rPr>
          <w:rFonts w:ascii="Times New Roman" w:hAnsi="Times New Roman" w:cs="Times New Roman"/>
        </w:rPr>
        <w:t>. Realizacja zamówienia winna odbywać się zgodnie z przepisami ustawy z dnia 10.04.1997 r. Prawo energetyczne oraz aktami wykonawczymi do tej ustawy.</w:t>
      </w:r>
    </w:p>
    <w:p w14:paraId="6A0AA929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3. Szczegóły dotyczące zużycia energii elektrycznej w poszczególnych punktach poboru opisane zostały w Załączniku nr 1 do SWZ Wykaz punktów poboru, z czego:</w:t>
      </w:r>
    </w:p>
    <w:p w14:paraId="3608848E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1) Pozycje od 1 do 51, 121, 126, 139, 177 stanowią oświetlenie uliczne — 352,49 MWh,</w:t>
      </w:r>
    </w:p>
    <w:p w14:paraId="7FD1FC52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2) Pozycje od 52 do 120, od 122 do 125, od 127 do 138, od 140 do 176 stanowią obiekty — 1573,87 MWh.</w:t>
      </w:r>
    </w:p>
    <w:p w14:paraId="12A5CF8C" w14:textId="70B39D0E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 xml:space="preserve">4. Wskazane powyżej prognozowane zużycie energii elektrycznej ma charakter orientacyjny i może odbiegać od faktycznie pobranej, w okresie trwania umowy, ilości energii. Zmniejszenie lub zwiększenie ilości energii elektrycznej nie pociąga dla zamawiających (odbiorców) żadnych konsekwencji, poza koniecznością dokonania zapłaty za faktycznie pobraną ilość energii oraz usługi </w:t>
      </w:r>
      <w:proofErr w:type="spellStart"/>
      <w:r w:rsidRPr="004638D8">
        <w:rPr>
          <w:rFonts w:ascii="Times New Roman" w:hAnsi="Times New Roman" w:cs="Times New Roman"/>
        </w:rPr>
        <w:t>przesyłu</w:t>
      </w:r>
      <w:proofErr w:type="spellEnd"/>
      <w:r w:rsidRPr="004638D8">
        <w:rPr>
          <w:rFonts w:ascii="Times New Roman" w:hAnsi="Times New Roman" w:cs="Times New Roman"/>
        </w:rPr>
        <w:t xml:space="preserve"> zgodnie z obowiązującą Taryfą Operatora, Wykonawca winien uwzględnić wahanie poboru na poziomie (+/-) 10%. Jednocześnie zamawiający deklaruje zakup energii w ilości nie mniejszej niż 95% szacowanego wolumenu.</w:t>
      </w:r>
    </w:p>
    <w:p w14:paraId="7E17EE4B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5. Standardy jakościowe:</w:t>
      </w:r>
    </w:p>
    <w:p w14:paraId="771DBB8A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1) Przedmiotem zamówienia są dostawy energii elektrycznej o określonych, zgodnie z obowiązującymi przepisami, standardach jakościowych.</w:t>
      </w:r>
    </w:p>
    <w:p w14:paraId="4AB0868E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2) Standardy jakościowe energii elektrycznej opisane są w ustawie z dnia 10 kwietnia 1997r. — Prawo energetyczne oraz w Rozporządzeniu Ministra Gospodarki z dnia 4 maja 2007r. w sprawie szczegółowych warunków funkcjonowania systemu elektroenergetycznego ze zmianami. Zasady kształtowania i kalkulacji taryf oraz rozliczeń w obrocie energią elektryczną określa Rozporządzenie Ministra Energii z dnia 6 marca 2019 r. ze zmianami;</w:t>
      </w:r>
    </w:p>
    <w:p w14:paraId="7126E54D" w14:textId="359D26A3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3) Standardy dotyczące dystrybucji energii elektrycznej zawarte są w Taryfie Operatora, która określa:</w:t>
      </w:r>
    </w:p>
    <w:p w14:paraId="7C37B481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- grupy taryfowe i szczegółowe kryteria kwalifikowania odbiorców do tych grup;</w:t>
      </w:r>
    </w:p>
    <w:p w14:paraId="0014AAAF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 xml:space="preserve">- sposób ustalania opłat za przyłączenie do sieci Operatora, zaś w przypadku przyłączenia do sieci o napięciu znamionowym nie wyższym niż 1 </w:t>
      </w:r>
      <w:proofErr w:type="spellStart"/>
      <w:r w:rsidRPr="004638D8">
        <w:rPr>
          <w:rFonts w:ascii="Times New Roman" w:hAnsi="Times New Roman" w:cs="Times New Roman"/>
        </w:rPr>
        <w:t>kV</w:t>
      </w:r>
      <w:proofErr w:type="spellEnd"/>
      <w:r w:rsidRPr="004638D8">
        <w:rPr>
          <w:rFonts w:ascii="Times New Roman" w:hAnsi="Times New Roman" w:cs="Times New Roman"/>
        </w:rPr>
        <w:t xml:space="preserve"> także ryczałtowe stawki opłat;</w:t>
      </w:r>
    </w:p>
    <w:p w14:paraId="33E4ABC1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- stawki opłat za świadczenie usługi dystrybucji i warunki ich stosowania, z uwzględnieniem podziału</w:t>
      </w:r>
    </w:p>
    <w:p w14:paraId="669DDD16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na stawki wynikające z:</w:t>
      </w:r>
    </w:p>
    <w:p w14:paraId="51377187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• dystrybucji energii elektrycznej (składniki zmienne i stałe stawki sieciowej),</w:t>
      </w:r>
    </w:p>
    <w:p w14:paraId="570B2E65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• korzystania z krajowego systemu elektroenergetycznego (stawki jakościowe),</w:t>
      </w:r>
    </w:p>
    <w:p w14:paraId="62FFB72D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• odczytywania wskazań układów pomiarowo-rozliczeniowych i ich bieżącej kontroli (stawki abonamentowe),</w:t>
      </w:r>
    </w:p>
    <w:p w14:paraId="07231510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przedterminowego rozwiązania kontraktów długoterminowych (stawki opłaty przejściowej),</w:t>
      </w:r>
    </w:p>
    <w:p w14:paraId="67EBC6E0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• zapewnienia dostępności energii elektrycznej ze źródeł odnawialnych w krajowym systemie</w:t>
      </w:r>
    </w:p>
    <w:p w14:paraId="5B3964D4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elektroenergetycznym (stawka opłaty OZE);</w:t>
      </w:r>
    </w:p>
    <w:p w14:paraId="43DDF09B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 xml:space="preserve">• zapewnienia średnioterminowego i długoterminowego bezpieczeństwa dostaw energii elektrycznej do odbiorców końcowych (stawka opłaty </w:t>
      </w:r>
      <w:proofErr w:type="spellStart"/>
      <w:r w:rsidRPr="004638D8">
        <w:rPr>
          <w:rFonts w:ascii="Times New Roman" w:hAnsi="Times New Roman" w:cs="Times New Roman"/>
        </w:rPr>
        <w:t>mocowej</w:t>
      </w:r>
      <w:proofErr w:type="spellEnd"/>
      <w:r w:rsidRPr="004638D8">
        <w:rPr>
          <w:rFonts w:ascii="Times New Roman" w:hAnsi="Times New Roman" w:cs="Times New Roman"/>
        </w:rPr>
        <w:t>);</w:t>
      </w:r>
    </w:p>
    <w:p w14:paraId="3464511C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- sposób ustalania bonifikat za niedotrzymanie parametrów jakościowych energii elektrycznej</w:t>
      </w:r>
    </w:p>
    <w:p w14:paraId="0788811B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i standardów jakościowych obsługi odbiorców;</w:t>
      </w:r>
    </w:p>
    <w:p w14:paraId="1ACDABCC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- sposób ustalania opłat za:</w:t>
      </w:r>
    </w:p>
    <w:p w14:paraId="5F44736B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lastRenderedPageBreak/>
        <w:t xml:space="preserve">a) </w:t>
      </w:r>
      <w:proofErr w:type="spellStart"/>
      <w:r w:rsidRPr="004638D8">
        <w:rPr>
          <w:rFonts w:ascii="Times New Roman" w:hAnsi="Times New Roman" w:cs="Times New Roman"/>
        </w:rPr>
        <w:t>ponadumowny</w:t>
      </w:r>
      <w:proofErr w:type="spellEnd"/>
      <w:r w:rsidRPr="004638D8">
        <w:rPr>
          <w:rFonts w:ascii="Times New Roman" w:hAnsi="Times New Roman" w:cs="Times New Roman"/>
        </w:rPr>
        <w:t xml:space="preserve"> pobór energii biernej,</w:t>
      </w:r>
    </w:p>
    <w:p w14:paraId="600CC68E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b) przekroczenia mocy umownej,</w:t>
      </w:r>
    </w:p>
    <w:p w14:paraId="652A2AFF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c) nielegalny pobór energii elektrycznej,</w:t>
      </w:r>
    </w:p>
    <w:p w14:paraId="1DC06AAE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- opłaty za usługi wykonywane na dodatkowe zlecenie odbiorcy;</w:t>
      </w:r>
    </w:p>
    <w:p w14:paraId="79C95A37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>- opłaty za wznowienie dostarczania energii elektrycznej po wstrzymaniu jej dostaw.</w:t>
      </w:r>
    </w:p>
    <w:p w14:paraId="6C49EB7A" w14:textId="77777777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</w:p>
    <w:p w14:paraId="421E736E" w14:textId="77777777" w:rsidR="009F2C31" w:rsidRPr="004638D8" w:rsidRDefault="009F2C31" w:rsidP="00F154DA">
      <w:pPr>
        <w:pStyle w:val="Default"/>
        <w:rPr>
          <w:rFonts w:ascii="Times New Roman" w:hAnsi="Times New Roman" w:cs="Times New Roman"/>
        </w:rPr>
      </w:pPr>
    </w:p>
    <w:p w14:paraId="0612E450" w14:textId="70F47D8D" w:rsidR="00F154DA" w:rsidRPr="004638D8" w:rsidRDefault="00F154DA" w:rsidP="00F154DA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4638D8">
        <w:rPr>
          <w:rFonts w:ascii="Times New Roman" w:hAnsi="Times New Roman" w:cs="Times New Roman"/>
          <w:b/>
          <w:bCs/>
        </w:rPr>
        <w:t>Sekcja IV: Procedura</w:t>
      </w:r>
    </w:p>
    <w:p w14:paraId="43DDD690" w14:textId="323A30C3" w:rsidR="009F2C31" w:rsidRPr="004638D8" w:rsidRDefault="00F154DA" w:rsidP="004638D8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  <w:b/>
          <w:bCs/>
        </w:rPr>
        <w:t xml:space="preserve">IV.2.2)  </w:t>
      </w:r>
      <w:r w:rsidR="009F2C31" w:rsidRPr="004638D8">
        <w:rPr>
          <w:rFonts w:ascii="Times New Roman" w:hAnsi="Times New Roman" w:cs="Times New Roman"/>
          <w:b/>
          <w:bCs/>
        </w:rPr>
        <w:t>Termin składania ofert lub wniosków o dopuszczenie do udziału</w:t>
      </w:r>
    </w:p>
    <w:p w14:paraId="307D1C6B" w14:textId="6268BEE0" w:rsidR="009F2C31" w:rsidRPr="004638D8" w:rsidRDefault="004638D8" w:rsidP="009F2C3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9F2C31" w:rsidRPr="004638D8">
        <w:rPr>
          <w:rFonts w:ascii="Times New Roman" w:hAnsi="Times New Roman" w:cs="Times New Roman"/>
        </w:rPr>
        <w:t>Data: 11/12/2023</w:t>
      </w:r>
    </w:p>
    <w:p w14:paraId="4AB800FF" w14:textId="049B7BD3" w:rsidR="009F2C31" w:rsidRPr="004638D8" w:rsidRDefault="004638D8" w:rsidP="009F2C3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9F2C31" w:rsidRPr="004638D8">
        <w:rPr>
          <w:rFonts w:ascii="Times New Roman" w:hAnsi="Times New Roman" w:cs="Times New Roman"/>
        </w:rPr>
        <w:t>Czas lokalny: 12:00</w:t>
      </w:r>
    </w:p>
    <w:p w14:paraId="62138E80" w14:textId="77777777" w:rsidR="009F2C31" w:rsidRPr="004638D8" w:rsidRDefault="009F2C31" w:rsidP="009F2C31">
      <w:pPr>
        <w:pStyle w:val="Default"/>
        <w:rPr>
          <w:rFonts w:ascii="Times New Roman" w:hAnsi="Times New Roman" w:cs="Times New Roman"/>
        </w:rPr>
      </w:pPr>
    </w:p>
    <w:p w14:paraId="78B3B914" w14:textId="34FD1401" w:rsidR="004638D8" w:rsidRPr="004638D8" w:rsidRDefault="004638D8" w:rsidP="009F2C31">
      <w:pPr>
        <w:pStyle w:val="Default"/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</w:rPr>
        <w:t xml:space="preserve">                      </w:t>
      </w:r>
      <w:r w:rsidR="009F2C31" w:rsidRPr="004638D8">
        <w:rPr>
          <w:rFonts w:ascii="Times New Roman" w:hAnsi="Times New Roman" w:cs="Times New Roman"/>
        </w:rPr>
        <w:t>Po zmianie jest:</w:t>
      </w:r>
      <w:r w:rsidRPr="004638D8">
        <w:rPr>
          <w:rFonts w:ascii="Times New Roman" w:hAnsi="Times New Roman" w:cs="Times New Roman"/>
        </w:rPr>
        <w:t xml:space="preserve"> </w:t>
      </w:r>
    </w:p>
    <w:p w14:paraId="3236B86A" w14:textId="7AAA7768" w:rsidR="009F2C31" w:rsidRPr="004638D8" w:rsidRDefault="009F2C31" w:rsidP="009F2C31">
      <w:pPr>
        <w:pStyle w:val="Default"/>
        <w:rPr>
          <w:rFonts w:ascii="Times New Roman" w:hAnsi="Times New Roman" w:cs="Times New Roman"/>
          <w:b/>
          <w:bCs/>
        </w:rPr>
      </w:pPr>
      <w:r w:rsidRPr="004638D8">
        <w:rPr>
          <w:rFonts w:ascii="Times New Roman" w:hAnsi="Times New Roman" w:cs="Times New Roman"/>
          <w:b/>
          <w:bCs/>
        </w:rPr>
        <w:t xml:space="preserve"> </w:t>
      </w:r>
    </w:p>
    <w:p w14:paraId="39699FE1" w14:textId="63EBA62A" w:rsidR="009F2C31" w:rsidRPr="004638D8" w:rsidRDefault="004638D8" w:rsidP="009F2C31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9F2C31" w:rsidRPr="004638D8">
        <w:rPr>
          <w:rFonts w:ascii="Times New Roman" w:hAnsi="Times New Roman" w:cs="Times New Roman"/>
          <w:b/>
          <w:bCs/>
        </w:rPr>
        <w:t>IV.2.2) Termin składania ofert lub wniosków o dopuszczenie do udziału</w:t>
      </w:r>
    </w:p>
    <w:p w14:paraId="24273D94" w14:textId="53A09C2F" w:rsidR="009F2C31" w:rsidRPr="004638D8" w:rsidRDefault="004638D8" w:rsidP="009F2C3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9F2C31" w:rsidRPr="004638D8">
        <w:rPr>
          <w:rFonts w:ascii="Times New Roman" w:hAnsi="Times New Roman" w:cs="Times New Roman"/>
        </w:rPr>
        <w:t>Data: 13/12/2023</w:t>
      </w:r>
    </w:p>
    <w:p w14:paraId="10720B25" w14:textId="3A3FD7E3" w:rsidR="009F2C31" w:rsidRPr="004638D8" w:rsidRDefault="004638D8" w:rsidP="009F2C3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9F2C31" w:rsidRPr="004638D8">
        <w:rPr>
          <w:rFonts w:ascii="Times New Roman" w:hAnsi="Times New Roman" w:cs="Times New Roman"/>
        </w:rPr>
        <w:t>Czas lokalny: 12:00</w:t>
      </w:r>
    </w:p>
    <w:p w14:paraId="7528B112" w14:textId="77777777" w:rsidR="009F2C31" w:rsidRPr="004638D8" w:rsidRDefault="009F2C31" w:rsidP="009F2C31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</w:p>
    <w:p w14:paraId="351DF46E" w14:textId="6D915B9C" w:rsidR="009F2C31" w:rsidRPr="004638D8" w:rsidRDefault="009F2C31" w:rsidP="004638D8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4638D8">
        <w:rPr>
          <w:rFonts w:ascii="Times New Roman" w:hAnsi="Times New Roman" w:cs="Times New Roman"/>
          <w:b/>
          <w:bCs/>
        </w:rPr>
        <w:t>IV.2.6) Minimalny okres, w którym oferent będzie związany ofertą</w:t>
      </w:r>
    </w:p>
    <w:p w14:paraId="5936E139" w14:textId="4A8C1145" w:rsidR="009F2C31" w:rsidRPr="004638D8" w:rsidRDefault="004638D8" w:rsidP="009F2C3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9F2C31" w:rsidRPr="004638D8">
        <w:rPr>
          <w:rFonts w:ascii="Times New Roman" w:hAnsi="Times New Roman" w:cs="Times New Roman"/>
        </w:rPr>
        <w:t>Oferta musi zachować ważność do: 10/01/2024</w:t>
      </w:r>
    </w:p>
    <w:p w14:paraId="1BEEEC54" w14:textId="77777777" w:rsidR="009F2C31" w:rsidRPr="004638D8" w:rsidRDefault="009F2C31" w:rsidP="009F2C31">
      <w:pPr>
        <w:pStyle w:val="Default"/>
        <w:rPr>
          <w:rFonts w:ascii="Times New Roman" w:hAnsi="Times New Roman" w:cs="Times New Roman"/>
          <w:b/>
          <w:bCs/>
        </w:rPr>
      </w:pPr>
    </w:p>
    <w:p w14:paraId="35C9D398" w14:textId="3A84646F" w:rsidR="00F154DA" w:rsidRDefault="004638D8" w:rsidP="00F154D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9F2C31" w:rsidRPr="004638D8">
        <w:rPr>
          <w:rFonts w:ascii="Times New Roman" w:hAnsi="Times New Roman" w:cs="Times New Roman"/>
        </w:rPr>
        <w:t xml:space="preserve">Po zmianie jest: </w:t>
      </w:r>
    </w:p>
    <w:p w14:paraId="06D8EDA2" w14:textId="77777777" w:rsidR="006B572F" w:rsidRPr="004638D8" w:rsidRDefault="006B572F" w:rsidP="00F154DA">
      <w:pPr>
        <w:pStyle w:val="Default"/>
        <w:rPr>
          <w:rFonts w:ascii="Times New Roman" w:hAnsi="Times New Roman" w:cs="Times New Roman"/>
        </w:rPr>
      </w:pPr>
    </w:p>
    <w:p w14:paraId="21FB1915" w14:textId="69B33594" w:rsidR="009F2C31" w:rsidRPr="004638D8" w:rsidRDefault="004638D8" w:rsidP="009F2C3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9F2C31" w:rsidRPr="004638D8">
        <w:rPr>
          <w:rFonts w:ascii="Times New Roman" w:hAnsi="Times New Roman" w:cs="Times New Roman"/>
          <w:b/>
          <w:bCs/>
        </w:rPr>
        <w:t>IV.2.6) Minimalny okres, w którym oferent będzie związany ofertą</w:t>
      </w:r>
    </w:p>
    <w:p w14:paraId="38FDFBF8" w14:textId="60207C09" w:rsidR="009F2C31" w:rsidRPr="004638D8" w:rsidRDefault="006B572F" w:rsidP="009F2C3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9F2C31" w:rsidRPr="004638D8">
        <w:rPr>
          <w:rFonts w:ascii="Times New Roman" w:hAnsi="Times New Roman" w:cs="Times New Roman"/>
        </w:rPr>
        <w:t>Oferta musi zachować ważność do: 12/01/2024</w:t>
      </w:r>
    </w:p>
    <w:p w14:paraId="768C120A" w14:textId="77777777" w:rsidR="009F2C31" w:rsidRPr="004638D8" w:rsidRDefault="009F2C31" w:rsidP="009F2C31">
      <w:pPr>
        <w:pStyle w:val="Default"/>
        <w:rPr>
          <w:rFonts w:ascii="Times New Roman" w:hAnsi="Times New Roman" w:cs="Times New Roman"/>
        </w:rPr>
      </w:pPr>
    </w:p>
    <w:p w14:paraId="0E957A68" w14:textId="16C7014A" w:rsidR="004638D8" w:rsidRPr="004638D8" w:rsidRDefault="004638D8" w:rsidP="006B572F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bookmarkStart w:id="0" w:name="_Hlk151711549"/>
      <w:r w:rsidRPr="004638D8">
        <w:rPr>
          <w:rFonts w:ascii="Times New Roman" w:hAnsi="Times New Roman" w:cs="Times New Roman"/>
          <w:b/>
          <w:bCs/>
        </w:rPr>
        <w:t>IV.2.7)</w:t>
      </w:r>
      <w:r w:rsidRPr="004638D8">
        <w:rPr>
          <w:rFonts w:ascii="Times New Roman" w:hAnsi="Times New Roman" w:cs="Times New Roman"/>
        </w:rPr>
        <w:t xml:space="preserve"> </w:t>
      </w:r>
      <w:r w:rsidRPr="004638D8">
        <w:rPr>
          <w:rFonts w:ascii="Times New Roman" w:hAnsi="Times New Roman" w:cs="Times New Roman"/>
          <w:b/>
          <w:bCs/>
        </w:rPr>
        <w:t>Warunki otwarcia ofert</w:t>
      </w:r>
    </w:p>
    <w:p w14:paraId="178598F0" w14:textId="33C32435" w:rsidR="004638D8" w:rsidRPr="004638D8" w:rsidRDefault="006B572F" w:rsidP="004638D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4638D8" w:rsidRPr="004638D8">
        <w:rPr>
          <w:rFonts w:ascii="Times New Roman" w:hAnsi="Times New Roman" w:cs="Times New Roman"/>
        </w:rPr>
        <w:t>Data: 11/12/2023</w:t>
      </w:r>
    </w:p>
    <w:p w14:paraId="7B48E8A7" w14:textId="0AD8A254" w:rsidR="004638D8" w:rsidRPr="004638D8" w:rsidRDefault="006B572F" w:rsidP="004638D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4638D8" w:rsidRPr="004638D8">
        <w:rPr>
          <w:rFonts w:ascii="Times New Roman" w:hAnsi="Times New Roman" w:cs="Times New Roman"/>
        </w:rPr>
        <w:t>Czas lokalny: 12:05</w:t>
      </w:r>
    </w:p>
    <w:p w14:paraId="37125B16" w14:textId="0CDEE41D" w:rsidR="004638D8" w:rsidRPr="004638D8" w:rsidRDefault="006B572F" w:rsidP="004638D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4638D8" w:rsidRPr="004638D8">
        <w:rPr>
          <w:rFonts w:ascii="Times New Roman" w:hAnsi="Times New Roman" w:cs="Times New Roman"/>
        </w:rPr>
        <w:t>Miejsce:</w:t>
      </w:r>
    </w:p>
    <w:p w14:paraId="2317E2CA" w14:textId="2C389429" w:rsidR="004638D8" w:rsidRPr="004638D8" w:rsidRDefault="006B572F" w:rsidP="004638D8">
      <w:pPr>
        <w:pStyle w:val="Default"/>
        <w:rPr>
          <w:rFonts w:ascii="Times New Roman" w:hAnsi="Times New Roman" w:cs="Times New Roman"/>
          <w:color w:val="000064"/>
        </w:rPr>
      </w:pPr>
      <w:r>
        <w:rPr>
          <w:rFonts w:ascii="Times New Roman" w:hAnsi="Times New Roman" w:cs="Times New Roman"/>
        </w:rPr>
        <w:t xml:space="preserve">              </w:t>
      </w:r>
      <w:r w:rsidR="004638D8" w:rsidRPr="004638D8">
        <w:rPr>
          <w:rFonts w:ascii="Times New Roman" w:hAnsi="Times New Roman" w:cs="Times New Roman"/>
        </w:rPr>
        <w:t xml:space="preserve">Platforma zakupowa na stronie internetowej </w:t>
      </w:r>
      <w:r w:rsidR="004638D8" w:rsidRPr="004638D8">
        <w:rPr>
          <w:rFonts w:ascii="Times New Roman" w:hAnsi="Times New Roman" w:cs="Times New Roman"/>
          <w:color w:val="000064"/>
        </w:rPr>
        <w:t>https://platformazakupowa.pl/pn/torzym</w:t>
      </w:r>
    </w:p>
    <w:bookmarkEnd w:id="0"/>
    <w:p w14:paraId="1EF1E637" w14:textId="66642D4F" w:rsidR="004638D8" w:rsidRPr="004638D8" w:rsidRDefault="004638D8" w:rsidP="009F2C31">
      <w:pPr>
        <w:pStyle w:val="Default"/>
        <w:rPr>
          <w:rFonts w:ascii="Times New Roman" w:hAnsi="Times New Roman" w:cs="Times New Roman"/>
        </w:rPr>
      </w:pPr>
    </w:p>
    <w:p w14:paraId="7D987636" w14:textId="2993842A" w:rsidR="009F2C31" w:rsidRPr="004638D8" w:rsidRDefault="006B572F" w:rsidP="009F2C3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4638D8" w:rsidRPr="004638D8">
        <w:rPr>
          <w:rFonts w:ascii="Times New Roman" w:hAnsi="Times New Roman" w:cs="Times New Roman"/>
        </w:rPr>
        <w:t xml:space="preserve">Po zmianie jest: </w:t>
      </w:r>
    </w:p>
    <w:p w14:paraId="052C04C9" w14:textId="77777777" w:rsidR="004638D8" w:rsidRPr="004638D8" w:rsidRDefault="004638D8" w:rsidP="009F2C31">
      <w:pPr>
        <w:pStyle w:val="Default"/>
        <w:rPr>
          <w:rFonts w:ascii="Times New Roman" w:hAnsi="Times New Roman" w:cs="Times New Roman"/>
        </w:rPr>
      </w:pPr>
    </w:p>
    <w:p w14:paraId="26E3A2DB" w14:textId="3C9F1E00" w:rsidR="004638D8" w:rsidRPr="004638D8" w:rsidRDefault="006B572F" w:rsidP="004638D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4638D8" w:rsidRPr="004638D8">
        <w:rPr>
          <w:rFonts w:ascii="Times New Roman" w:hAnsi="Times New Roman" w:cs="Times New Roman"/>
          <w:b/>
          <w:bCs/>
        </w:rPr>
        <w:t>IV.2.7)</w:t>
      </w:r>
      <w:r w:rsidR="004638D8" w:rsidRPr="004638D8">
        <w:rPr>
          <w:rFonts w:ascii="Times New Roman" w:hAnsi="Times New Roman" w:cs="Times New Roman"/>
        </w:rPr>
        <w:t xml:space="preserve"> </w:t>
      </w:r>
      <w:r w:rsidR="004638D8" w:rsidRPr="004638D8">
        <w:rPr>
          <w:rFonts w:ascii="Times New Roman" w:hAnsi="Times New Roman" w:cs="Times New Roman"/>
          <w:b/>
          <w:bCs/>
        </w:rPr>
        <w:t>Warunki otwarcia ofert</w:t>
      </w:r>
    </w:p>
    <w:p w14:paraId="05EB6568" w14:textId="1DF51E7A" w:rsidR="004638D8" w:rsidRPr="004638D8" w:rsidRDefault="006B572F" w:rsidP="004638D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4638D8" w:rsidRPr="004638D8">
        <w:rPr>
          <w:rFonts w:ascii="Times New Roman" w:hAnsi="Times New Roman" w:cs="Times New Roman"/>
        </w:rPr>
        <w:t>Data: 13/12/2023</w:t>
      </w:r>
    </w:p>
    <w:p w14:paraId="329E02F3" w14:textId="40D2D2CD" w:rsidR="004638D8" w:rsidRPr="004638D8" w:rsidRDefault="006B572F" w:rsidP="004638D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4638D8" w:rsidRPr="004638D8">
        <w:rPr>
          <w:rFonts w:ascii="Times New Roman" w:hAnsi="Times New Roman" w:cs="Times New Roman"/>
        </w:rPr>
        <w:t>Czas lokalny: 12:05</w:t>
      </w:r>
    </w:p>
    <w:p w14:paraId="72E3F8A5" w14:textId="2E3E7F44" w:rsidR="004638D8" w:rsidRPr="004638D8" w:rsidRDefault="006B572F" w:rsidP="004638D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4638D8" w:rsidRPr="004638D8">
        <w:rPr>
          <w:rFonts w:ascii="Times New Roman" w:hAnsi="Times New Roman" w:cs="Times New Roman"/>
        </w:rPr>
        <w:t>Miejsce:</w:t>
      </w:r>
    </w:p>
    <w:p w14:paraId="2EC6C003" w14:textId="46558391" w:rsidR="004638D8" w:rsidRPr="004638D8" w:rsidRDefault="006B572F" w:rsidP="004638D8">
      <w:pPr>
        <w:pStyle w:val="Default"/>
        <w:rPr>
          <w:rFonts w:ascii="Times New Roman" w:hAnsi="Times New Roman" w:cs="Times New Roman"/>
          <w:color w:val="000064"/>
        </w:rPr>
      </w:pPr>
      <w:r>
        <w:rPr>
          <w:rFonts w:ascii="Times New Roman" w:hAnsi="Times New Roman" w:cs="Times New Roman"/>
        </w:rPr>
        <w:t xml:space="preserve">              </w:t>
      </w:r>
      <w:r w:rsidR="004638D8" w:rsidRPr="004638D8">
        <w:rPr>
          <w:rFonts w:ascii="Times New Roman" w:hAnsi="Times New Roman" w:cs="Times New Roman"/>
        </w:rPr>
        <w:t xml:space="preserve">Platforma zakupowa na stronie internetowej </w:t>
      </w:r>
      <w:r w:rsidR="004638D8" w:rsidRPr="004638D8">
        <w:rPr>
          <w:rFonts w:ascii="Times New Roman" w:hAnsi="Times New Roman" w:cs="Times New Roman"/>
          <w:color w:val="000064"/>
        </w:rPr>
        <w:t>https://platformazakupowa.pl/pn/torzym</w:t>
      </w:r>
    </w:p>
    <w:p w14:paraId="16DCF55C" w14:textId="1AC74729" w:rsidR="00F154DA" w:rsidRPr="004638D8" w:rsidRDefault="00F154DA" w:rsidP="00F154DA">
      <w:pPr>
        <w:pStyle w:val="Default"/>
        <w:rPr>
          <w:rFonts w:ascii="Times New Roman" w:hAnsi="Times New Roman" w:cs="Times New Roman"/>
        </w:rPr>
      </w:pPr>
    </w:p>
    <w:p w14:paraId="245F5BE8" w14:textId="115C3AA6" w:rsidR="00CB205D" w:rsidRPr="004638D8" w:rsidRDefault="00CB205D" w:rsidP="00CB205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8D8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>Powyższe brzmienie SWZ jest obowiązujące od dnia wprowadzenia niniejszej zmiany.</w:t>
      </w:r>
    </w:p>
    <w:p w14:paraId="79559A16" w14:textId="77777777" w:rsidR="00CB205D" w:rsidRPr="004638D8" w:rsidRDefault="00CB205D" w:rsidP="00CB20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640530C8" w14:textId="77777777" w:rsidR="00CB205D" w:rsidRPr="004638D8" w:rsidRDefault="00CB205D" w:rsidP="00CB205D">
      <w:pPr>
        <w:spacing w:after="0" w:line="226" w:lineRule="auto"/>
        <w:ind w:right="38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638D8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Zgodnie z dyspozycją art. 286 pkt 7 ustawy </w:t>
      </w:r>
      <w:proofErr w:type="spellStart"/>
      <w:r w:rsidRPr="004638D8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>Pzp</w:t>
      </w:r>
      <w:proofErr w:type="spellEnd"/>
      <w:r w:rsidRPr="004638D8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 niniejsza zmiana SWZ zostaje udostępniona na stronie internetowej prowadzonego postępowania: </w:t>
      </w:r>
    </w:p>
    <w:bookmarkStart w:id="1" w:name="_Hlk100218225"/>
    <w:p w14:paraId="362D4CFC" w14:textId="77777777" w:rsidR="00CB205D" w:rsidRDefault="00CB205D" w:rsidP="00CB205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4638D8">
        <w:rPr>
          <w:rFonts w:ascii="Times New Roman" w:eastAsia="Arial" w:hAnsi="Times New Roman" w:cs="Times New Roman"/>
          <w:sz w:val="24"/>
          <w:szCs w:val="24"/>
          <w:lang w:eastAsia="pl-PL"/>
        </w:rPr>
        <w:fldChar w:fldCharType="begin"/>
      </w:r>
      <w:r w:rsidRPr="004638D8">
        <w:rPr>
          <w:rFonts w:ascii="Times New Roman" w:eastAsia="Arial" w:hAnsi="Times New Roman" w:cs="Times New Roman"/>
          <w:sz w:val="24"/>
          <w:szCs w:val="24"/>
          <w:lang w:eastAsia="pl-PL"/>
        </w:rPr>
        <w:instrText xml:space="preserve"> HYPERLINK "https://platformazakupowa.pl/pn/torzym" </w:instrText>
      </w:r>
      <w:r w:rsidRPr="004638D8">
        <w:rPr>
          <w:rFonts w:ascii="Times New Roman" w:eastAsia="Arial" w:hAnsi="Times New Roman" w:cs="Times New Roman"/>
          <w:sz w:val="24"/>
          <w:szCs w:val="24"/>
          <w:lang w:eastAsia="pl-PL"/>
        </w:rPr>
      </w:r>
      <w:r w:rsidRPr="004638D8">
        <w:rPr>
          <w:rFonts w:ascii="Times New Roman" w:eastAsia="Arial" w:hAnsi="Times New Roman" w:cs="Times New Roman"/>
          <w:sz w:val="24"/>
          <w:szCs w:val="24"/>
          <w:lang w:eastAsia="pl-PL"/>
        </w:rPr>
        <w:fldChar w:fldCharType="separate"/>
      </w:r>
      <w:r w:rsidRPr="004638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https://platformazakupowa.pl/pn/torzym</w:t>
      </w:r>
      <w:r w:rsidRPr="004638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fldChar w:fldCharType="end"/>
      </w:r>
      <w:bookmarkEnd w:id="1"/>
    </w:p>
    <w:p w14:paraId="78D25FF2" w14:textId="53FC2897" w:rsidR="00684B1E" w:rsidRPr="00684B1E" w:rsidRDefault="00684B1E" w:rsidP="00684B1E">
      <w:pPr>
        <w:rPr>
          <w:lang w:eastAsia="pl-PL"/>
        </w:rPr>
      </w:pPr>
      <w:r w:rsidRPr="00684B1E">
        <w:rPr>
          <w:lang w:eastAsia="pl-PL"/>
        </w:rPr>
        <w:t xml:space="preserve">                                                                             </w:t>
      </w:r>
      <w:r>
        <w:rPr>
          <w:lang w:eastAsia="pl-PL"/>
        </w:rPr>
        <w:t xml:space="preserve">       </w:t>
      </w:r>
      <w:r w:rsidRPr="00684B1E">
        <w:rPr>
          <w:lang w:eastAsia="pl-PL"/>
        </w:rPr>
        <w:t xml:space="preserve">     </w:t>
      </w:r>
      <w:r>
        <w:rPr>
          <w:lang w:eastAsia="pl-PL"/>
        </w:rPr>
        <w:t xml:space="preserve">    </w:t>
      </w:r>
      <w:r w:rsidRPr="00684B1E">
        <w:rPr>
          <w:lang w:eastAsia="pl-PL"/>
        </w:rPr>
        <w:t xml:space="preserve">            Burmistrz Miasta i Gminy Torzym</w:t>
      </w:r>
    </w:p>
    <w:p w14:paraId="0A93F5B1" w14:textId="1E67E24E" w:rsidR="00684B1E" w:rsidRPr="00684B1E" w:rsidRDefault="00684B1E" w:rsidP="00684B1E">
      <w:pPr>
        <w:rPr>
          <w:rFonts w:eastAsia="Arial"/>
          <w:b/>
          <w:lang w:eastAsia="pl-PL"/>
        </w:rPr>
      </w:pPr>
      <w:r w:rsidRPr="00684B1E">
        <w:rPr>
          <w:lang w:eastAsia="pl-PL"/>
        </w:rPr>
        <w:t xml:space="preserve">                                                                                    </w:t>
      </w:r>
      <w:r>
        <w:rPr>
          <w:lang w:eastAsia="pl-PL"/>
        </w:rPr>
        <w:t xml:space="preserve">                     </w:t>
      </w:r>
      <w:r w:rsidRPr="00684B1E">
        <w:rPr>
          <w:lang w:eastAsia="pl-PL"/>
        </w:rPr>
        <w:t xml:space="preserve">       /-/  Ryszard </w:t>
      </w:r>
      <w:proofErr w:type="spellStart"/>
      <w:r w:rsidRPr="00684B1E">
        <w:rPr>
          <w:lang w:eastAsia="pl-PL"/>
        </w:rPr>
        <w:t>Stanulewicz</w:t>
      </w:r>
      <w:proofErr w:type="spellEnd"/>
    </w:p>
    <w:sectPr w:rsidR="00684B1E" w:rsidRPr="00684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52C6"/>
    <w:multiLevelType w:val="hybridMultilevel"/>
    <w:tmpl w:val="F36897AC"/>
    <w:lvl w:ilvl="0" w:tplc="9CF03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F426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7C958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A04BED"/>
    <w:multiLevelType w:val="multilevel"/>
    <w:tmpl w:val="D206B4AC"/>
    <w:lvl w:ilvl="0">
      <w:start w:val="6"/>
      <w:numFmt w:val="decimal"/>
      <w:lvlText w:val="%1."/>
      <w:lvlJc w:val="left"/>
      <w:pPr>
        <w:ind w:left="52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6A7500"/>
    <w:multiLevelType w:val="hybridMultilevel"/>
    <w:tmpl w:val="CE5E660C"/>
    <w:lvl w:ilvl="0" w:tplc="798C80FA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CA39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6AF15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18B56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4B8D202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3D2DF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F9AD16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43A79A8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14FC68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560D6F"/>
    <w:multiLevelType w:val="hybridMultilevel"/>
    <w:tmpl w:val="47A4D640"/>
    <w:lvl w:ilvl="0" w:tplc="6142AB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4039E"/>
    <w:multiLevelType w:val="hybridMultilevel"/>
    <w:tmpl w:val="D0B09292"/>
    <w:lvl w:ilvl="0" w:tplc="2D7A1B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E1A37"/>
    <w:multiLevelType w:val="multilevel"/>
    <w:tmpl w:val="0500484A"/>
    <w:lvl w:ilvl="0">
      <w:start w:val="6"/>
      <w:numFmt w:val="decimal"/>
      <w:lvlText w:val="%1."/>
      <w:lvlJc w:val="left"/>
      <w:pPr>
        <w:ind w:left="52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3277A0"/>
    <w:multiLevelType w:val="hybridMultilevel"/>
    <w:tmpl w:val="9BFA33DE"/>
    <w:lvl w:ilvl="0" w:tplc="4E2E9A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51DC9"/>
    <w:multiLevelType w:val="hybridMultilevel"/>
    <w:tmpl w:val="3B689944"/>
    <w:lvl w:ilvl="0" w:tplc="5F30410E">
      <w:start w:val="2"/>
      <w:numFmt w:val="decimal"/>
      <w:lvlText w:val="%1."/>
      <w:lvlJc w:val="left"/>
      <w:pPr>
        <w:ind w:left="39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8C7FE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88FA8C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FC155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87FB2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DC774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A827BE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02E290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4607B4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0933668">
    <w:abstractNumId w:val="3"/>
  </w:num>
  <w:num w:numId="2" w16cid:durableId="1345284246">
    <w:abstractNumId w:val="9"/>
  </w:num>
  <w:num w:numId="3" w16cid:durableId="1854345321">
    <w:abstractNumId w:val="7"/>
  </w:num>
  <w:num w:numId="4" w16cid:durableId="166140617">
    <w:abstractNumId w:val="4"/>
  </w:num>
  <w:num w:numId="5" w16cid:durableId="487524515">
    <w:abstractNumId w:val="8"/>
  </w:num>
  <w:num w:numId="6" w16cid:durableId="1793596109">
    <w:abstractNumId w:val="1"/>
  </w:num>
  <w:num w:numId="7" w16cid:durableId="365448278">
    <w:abstractNumId w:val="0"/>
  </w:num>
  <w:num w:numId="8" w16cid:durableId="2018267554">
    <w:abstractNumId w:val="2"/>
  </w:num>
  <w:num w:numId="9" w16cid:durableId="1122267577">
    <w:abstractNumId w:val="6"/>
  </w:num>
  <w:num w:numId="10" w16cid:durableId="1289630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6E"/>
    <w:rsid w:val="0004256E"/>
    <w:rsid w:val="000B3C8C"/>
    <w:rsid w:val="00207C31"/>
    <w:rsid w:val="002347E2"/>
    <w:rsid w:val="002F14C7"/>
    <w:rsid w:val="00344842"/>
    <w:rsid w:val="00401B5E"/>
    <w:rsid w:val="00405D15"/>
    <w:rsid w:val="004638D8"/>
    <w:rsid w:val="00644F61"/>
    <w:rsid w:val="00684B1E"/>
    <w:rsid w:val="006B572F"/>
    <w:rsid w:val="006F30D4"/>
    <w:rsid w:val="006F66C5"/>
    <w:rsid w:val="007573B2"/>
    <w:rsid w:val="00827AF6"/>
    <w:rsid w:val="008D4B6E"/>
    <w:rsid w:val="0094600D"/>
    <w:rsid w:val="00991ABC"/>
    <w:rsid w:val="009F2C31"/>
    <w:rsid w:val="00AA1EBC"/>
    <w:rsid w:val="00AC4089"/>
    <w:rsid w:val="00AF357D"/>
    <w:rsid w:val="00BB2B1F"/>
    <w:rsid w:val="00BF1BD0"/>
    <w:rsid w:val="00CA3633"/>
    <w:rsid w:val="00CB205D"/>
    <w:rsid w:val="00E26445"/>
    <w:rsid w:val="00F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31A3"/>
  <w15:chartTrackingRefBased/>
  <w15:docId w15:val="{469B8F6E-46A8-4850-B5CD-623237A7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05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AF6"/>
    <w:pPr>
      <w:ind w:left="720"/>
      <w:contextualSpacing/>
    </w:pPr>
  </w:style>
  <w:style w:type="paragraph" w:customStyle="1" w:styleId="Default">
    <w:name w:val="Default"/>
    <w:rsid w:val="007573B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1581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Kamila Wysocka</cp:lastModifiedBy>
  <cp:revision>8</cp:revision>
  <cp:lastPrinted>2023-08-03T13:12:00Z</cp:lastPrinted>
  <dcterms:created xsi:type="dcterms:W3CDTF">2023-11-21T10:21:00Z</dcterms:created>
  <dcterms:modified xsi:type="dcterms:W3CDTF">2023-11-24T13:17:00Z</dcterms:modified>
</cp:coreProperties>
</file>