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61014">
        <w:trPr>
          <w:trHeight w:val="1696"/>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FF5468" w:rsidRPr="00FF5468" w:rsidRDefault="00FF5468" w:rsidP="00FF5468">
            <w:pPr>
              <w:pStyle w:val="Tekstpodstawowy3"/>
              <w:rPr>
                <w:rFonts w:ascii="Times" w:hAnsi="Times"/>
                <w:b/>
                <w:bCs/>
                <w:sz w:val="24"/>
                <w:szCs w:val="24"/>
                <w:lang w:val="pl-PL"/>
              </w:rPr>
            </w:pPr>
            <w:r w:rsidRPr="00FF5468">
              <w:rPr>
                <w:b/>
                <w:sz w:val="24"/>
                <w:szCs w:val="24"/>
                <w:lang w:val="pl-PL"/>
              </w:rPr>
              <w:t xml:space="preserve">Znak Sprawy: ZP/220/25/20                            </w:t>
            </w:r>
          </w:p>
          <w:p w:rsidR="00FF5468" w:rsidRDefault="00FF5468" w:rsidP="00FF5468">
            <w:pPr>
              <w:jc w:val="both"/>
              <w:rPr>
                <w:bCs/>
                <w:i/>
                <w:sz w:val="21"/>
                <w:szCs w:val="21"/>
              </w:rPr>
            </w:pPr>
            <w:r>
              <w:rPr>
                <w:b/>
                <w:bCs/>
                <w:i/>
              </w:rPr>
              <w:t xml:space="preserve">Dotyczy: </w:t>
            </w:r>
            <w:r>
              <w:rPr>
                <w:b/>
                <w:i/>
              </w:rPr>
              <w:t>dostawy płynów infuzyjnych i produktów leczniczych w tym leków stosowanych w programach lekowych na potrzeby Klinik SPSK-2</w:t>
            </w:r>
            <w:r>
              <w:rPr>
                <w:b/>
                <w:i/>
                <w:sz w:val="21"/>
                <w:szCs w:val="21"/>
              </w:rPr>
              <w:t>.</w:t>
            </w:r>
          </w:p>
          <w:p w:rsidR="00C66F34" w:rsidRPr="00624A16" w:rsidRDefault="00C66F34" w:rsidP="00C66F34">
            <w:pPr>
              <w:rPr>
                <w:rFonts w:ascii="Times New Roman" w:hAnsi="Times New Roman" w:cs="Times New Roman"/>
                <w:b/>
                <w:bCs/>
                <w:i/>
                <w:sz w:val="24"/>
                <w:szCs w:val="24"/>
              </w:rPr>
            </w:pP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857144" w:rsidRPr="00883CDE" w:rsidRDefault="00857144" w:rsidP="00857144">
      <w:pPr>
        <w:tabs>
          <w:tab w:val="left" w:pos="0"/>
        </w:tabs>
        <w:spacing w:line="240" w:lineRule="auto"/>
        <w:jc w:val="center"/>
        <w:rPr>
          <w:rFonts w:ascii="Times New Roman" w:hAnsi="Times New Roman" w:cs="Times New Roman"/>
          <w:b/>
          <w:sz w:val="28"/>
          <w:szCs w:val="28"/>
        </w:rPr>
      </w:pPr>
      <w:r w:rsidRPr="00883CDE">
        <w:rPr>
          <w:rFonts w:ascii="Times New Roman" w:hAnsi="Times New Roman" w:cs="Times New Roman"/>
          <w:b/>
          <w:sz w:val="28"/>
          <w:szCs w:val="28"/>
        </w:rPr>
        <w:t>WYJAŚNIENIE NR 1</w:t>
      </w:r>
      <w:r w:rsidRPr="00883CDE">
        <w:rPr>
          <w:rFonts w:ascii="Times New Roman" w:hAnsi="Times New Roman" w:cs="Times New Roman"/>
          <w:b/>
          <w:sz w:val="28"/>
          <w:szCs w:val="28"/>
        </w:rPr>
        <w:tab/>
      </w:r>
    </w:p>
    <w:p w:rsidR="00857144" w:rsidRDefault="00857144" w:rsidP="00FF5468">
      <w:pPr>
        <w:tabs>
          <w:tab w:val="left" w:pos="142"/>
          <w:tab w:val="left" w:pos="426"/>
        </w:tabs>
        <w:spacing w:line="240" w:lineRule="auto"/>
        <w:jc w:val="both"/>
        <w:rPr>
          <w:rFonts w:ascii="Times New Roman" w:hAnsi="Times New Roman" w:cs="Times New Roman"/>
          <w:sz w:val="21"/>
          <w:szCs w:val="21"/>
        </w:rPr>
      </w:pPr>
      <w:r w:rsidRPr="00630EEF">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rsidR="00857144" w:rsidRPr="007C5E6C" w:rsidRDefault="00857144" w:rsidP="00FF5468">
      <w:pPr>
        <w:tabs>
          <w:tab w:val="left" w:pos="142"/>
          <w:tab w:val="left" w:pos="426"/>
        </w:tabs>
        <w:spacing w:after="0" w:line="240" w:lineRule="auto"/>
        <w:jc w:val="both"/>
        <w:rPr>
          <w:rFonts w:ascii="Times New Roman" w:hAnsi="Times New Roman" w:cs="Times New Roman"/>
        </w:rPr>
      </w:pPr>
    </w:p>
    <w:p w:rsidR="009A0361" w:rsidRPr="0058056C" w:rsidRDefault="00857144" w:rsidP="00FF5468">
      <w:pPr>
        <w:tabs>
          <w:tab w:val="left" w:pos="142"/>
          <w:tab w:val="left" w:pos="426"/>
        </w:tabs>
        <w:spacing w:after="0" w:line="240" w:lineRule="auto"/>
        <w:jc w:val="both"/>
        <w:outlineLvl w:val="0"/>
        <w:rPr>
          <w:rFonts w:ascii="Times New Roman" w:hAnsi="Times New Roman" w:cs="Times New Roman"/>
          <w:b/>
          <w:sz w:val="21"/>
          <w:szCs w:val="21"/>
        </w:rPr>
      </w:pPr>
      <w:r w:rsidRPr="0058056C">
        <w:rPr>
          <w:rFonts w:ascii="Times New Roman" w:hAnsi="Times New Roman" w:cs="Times New Roman"/>
          <w:b/>
          <w:sz w:val="21"/>
          <w:szCs w:val="21"/>
          <w:highlight w:val="yellow"/>
        </w:rPr>
        <w:t>Wykonawca nr 1</w:t>
      </w:r>
      <w:bookmarkStart w:id="1" w:name="_Hlk12607031"/>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bCs/>
          <w:sz w:val="21"/>
          <w:szCs w:val="21"/>
        </w:rPr>
        <w:t xml:space="preserve">Dotyczy pakietów </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bCs/>
          <w:sz w:val="21"/>
          <w:szCs w:val="21"/>
        </w:rPr>
        <w:t xml:space="preserve">Pytanie 1 </w:t>
      </w:r>
      <w:r w:rsidRPr="0058056C">
        <w:rPr>
          <w:rFonts w:ascii="Times New Roman" w:hAnsi="Times New Roman" w:cs="Times New Roman"/>
          <w:sz w:val="21"/>
          <w:szCs w:val="21"/>
        </w:rPr>
        <w:t xml:space="preserve">– Czy Zamawiający wyrazi zgodę na zmianę postaci proponowanych preparatów – tabletki na tabletki powlekane lub kapsułki lub drażetki i odwrotnie, fiolki na ampułki lub ampułko-strzykawki i odwrotnie? </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A31907" w:rsidRPr="0058056C">
        <w:rPr>
          <w:rFonts w:ascii="Times New Roman" w:hAnsi="Times New Roman" w:cs="Times New Roman"/>
          <w:sz w:val="21"/>
          <w:szCs w:val="21"/>
        </w:rPr>
        <w:t xml:space="preserve">Zamawiający wyraża zgodę na zamianę następujących postaci leku: tabletka-tabletka </w:t>
      </w:r>
      <w:proofErr w:type="spellStart"/>
      <w:r w:rsidR="00A31907" w:rsidRPr="0058056C">
        <w:rPr>
          <w:rFonts w:ascii="Times New Roman" w:hAnsi="Times New Roman" w:cs="Times New Roman"/>
          <w:sz w:val="21"/>
          <w:szCs w:val="21"/>
        </w:rPr>
        <w:t>powlekana-tabletkadrażowana-drażetka-kapsułka</w:t>
      </w:r>
      <w:proofErr w:type="spellEnd"/>
      <w:r w:rsidR="00A31907" w:rsidRPr="0058056C">
        <w:rPr>
          <w:rFonts w:ascii="Times New Roman" w:hAnsi="Times New Roman" w:cs="Times New Roman"/>
          <w:sz w:val="21"/>
          <w:szCs w:val="21"/>
        </w:rPr>
        <w:t xml:space="preserve"> przy zachowaniu tej samej kinetyki uwalniania substancji czynnej (np. postacie dojelitowe, o przedłużonym uwalnianiu itp.) Natomiast w przypadku zamiany fiolek na ampułki i odwrotnie należy każdorazowo uzyskać zgodę zamawiającego, bowiem fiolka jest opakowaniem wielodawkowym umożliwiającym kilkakrotne pobieranie dawek i przechowywanie natomiast ampułka takich możliwości nie daje co oznacza konieczność utylizacji niewykorzystanej ilości po otwarciu.</w:t>
      </w:r>
    </w:p>
    <w:p w:rsidR="00FF5468" w:rsidRPr="0058056C" w:rsidRDefault="00FF5468" w:rsidP="00FF5468">
      <w:pPr>
        <w:pStyle w:val="Tekstpodstawowy"/>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bCs/>
          <w:sz w:val="21"/>
          <w:szCs w:val="21"/>
        </w:rPr>
        <w:t xml:space="preserve">Pytanie 2 -  </w:t>
      </w:r>
      <w:r w:rsidRPr="0058056C">
        <w:rPr>
          <w:rFonts w:ascii="Times New Roman" w:hAnsi="Times New Roman" w:cs="Times New Roman"/>
          <w:sz w:val="21"/>
          <w:szCs w:val="21"/>
        </w:rPr>
        <w:t>Czy Zamawiający wyrazi zgodę na zmianę wielkości opakowań (tabletek, ampułek, kilogramów itp.)? Jeśli tak to prosimy o podanie w jaki sposób przeliczyć ilość opakowań handlowych ekonomicznym (czy podać pełne ilości opakowań zaokrąglone w górę, czy ilość opakowań przeliczyć do dwóch miejsc po przecinku)?</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9B1E73" w:rsidRPr="0058056C">
        <w:rPr>
          <w:rFonts w:ascii="Times New Roman" w:hAnsi="Times New Roman" w:cs="Times New Roman"/>
          <w:sz w:val="21"/>
          <w:szCs w:val="21"/>
        </w:rPr>
        <w:t>Zamawiający wyraża zgodę na zmianę wielkości opakowania za wyjątkiem opakowań, których wielkość wyrażona jest w g lub ml co oznacza, że nie można bez zgody Zamawiającego zamienić np. butelek po 100 ml na butelki 1 litrowe lub maści pakowanej po 15 g na maść po 1 kg. W przypadku zamiany opakowania należy ilość zaokrąglić do pełnego opakowania w górę.</w:t>
      </w:r>
    </w:p>
    <w:p w:rsidR="00FF5468" w:rsidRPr="0058056C" w:rsidRDefault="00FF5468" w:rsidP="00FF5468">
      <w:pPr>
        <w:pStyle w:val="Tekstpodstawowy"/>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bCs/>
          <w:sz w:val="21"/>
          <w:szCs w:val="21"/>
        </w:rPr>
        <w:t>Pytanie 3 -</w:t>
      </w:r>
      <w:r w:rsidRPr="0058056C">
        <w:rPr>
          <w:rFonts w:ascii="Times New Roman" w:hAnsi="Times New Roman" w:cs="Times New Roman"/>
          <w:sz w:val="21"/>
          <w:szCs w:val="21"/>
        </w:rPr>
        <w:t xml:space="preserve"> 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B82C45" w:rsidRPr="0058056C">
        <w:rPr>
          <w:rFonts w:ascii="Times New Roman" w:hAnsi="Times New Roman" w:cs="Times New Roman"/>
          <w:sz w:val="21"/>
          <w:szCs w:val="21"/>
        </w:rPr>
        <w:t>W takim przypadku należy zaokrąglić do pełnego opakowania w górę.</w:t>
      </w:r>
    </w:p>
    <w:p w:rsidR="00FF5468" w:rsidRPr="0058056C" w:rsidRDefault="00FF5468" w:rsidP="00FF5468">
      <w:pPr>
        <w:pStyle w:val="Default"/>
        <w:tabs>
          <w:tab w:val="left" w:pos="142"/>
          <w:tab w:val="left" w:pos="426"/>
        </w:tabs>
        <w:jc w:val="both"/>
        <w:rPr>
          <w:rFonts w:ascii="Times New Roman" w:hAnsi="Times New Roman" w:cs="Times New Roman"/>
          <w:b/>
          <w:bCs/>
          <w:sz w:val="21"/>
          <w:szCs w:val="21"/>
        </w:rPr>
      </w:pP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bCs/>
          <w:sz w:val="21"/>
          <w:szCs w:val="21"/>
        </w:rPr>
        <w:t xml:space="preserve">Pytanie 4 </w:t>
      </w:r>
      <w:r w:rsidRPr="0058056C">
        <w:rPr>
          <w:rFonts w:ascii="Times New Roman" w:hAnsi="Times New Roman" w:cs="Times New Roman"/>
          <w:sz w:val="21"/>
          <w:szCs w:val="21"/>
        </w:rPr>
        <w:t xml:space="preserve">– Zwracamy się z prośbą o określenie w jaki sposób postąpić w przypadku zaprzestania lub braku produkcji danego preparatu. Czy Zamawiający wyrazi zgodę na podanie ostatniej ceny i informacji pod pakietem? </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B82C45" w:rsidRPr="0058056C">
        <w:rPr>
          <w:rFonts w:ascii="Times New Roman" w:hAnsi="Times New Roman" w:cs="Times New Roman"/>
          <w:sz w:val="21"/>
          <w:szCs w:val="21"/>
        </w:rPr>
        <w:t>W takim przypadku nie należy wyceniać tej pozycji i załączyć odpowiednie pismo producenta o braku produkcji itp.</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p>
    <w:p w:rsidR="00FF5468" w:rsidRPr="0058056C" w:rsidRDefault="00FF5468" w:rsidP="00FF5468">
      <w:pPr>
        <w:tabs>
          <w:tab w:val="left" w:pos="142"/>
          <w:tab w:val="left" w:pos="426"/>
        </w:tabs>
        <w:spacing w:after="0" w:line="240" w:lineRule="auto"/>
        <w:jc w:val="both"/>
        <w:rPr>
          <w:rFonts w:ascii="Times New Roman" w:hAnsi="Times New Roman" w:cs="Times New Roman"/>
          <w:sz w:val="21"/>
          <w:szCs w:val="21"/>
        </w:rPr>
      </w:pPr>
      <w:r w:rsidRPr="0058056C">
        <w:rPr>
          <w:rFonts w:ascii="Times New Roman" w:hAnsi="Times New Roman" w:cs="Times New Roman"/>
          <w:b/>
          <w:bCs/>
          <w:sz w:val="21"/>
          <w:szCs w:val="21"/>
        </w:rPr>
        <w:t>Pytanie 5</w:t>
      </w:r>
      <w:r w:rsidRPr="0058056C">
        <w:rPr>
          <w:rFonts w:ascii="Times New Roman" w:hAnsi="Times New Roman" w:cs="Times New Roman"/>
          <w:sz w:val="21"/>
          <w:szCs w:val="21"/>
        </w:rPr>
        <w:t xml:space="preserve">– Czy Zamawiający dopuści wycenę leku za opakowanie a nie za sztukę/ kilogram (Zgodnie z prawem Farmaceutycznym nie ma możliwości zakupu leku w innej formie niż dostępne na rynku opakowanie handlowe) w pozycjach gdzie w SIWZ występują sztuki lub mg? </w:t>
      </w:r>
    </w:p>
    <w:p w:rsidR="00FF5468" w:rsidRPr="0058056C" w:rsidRDefault="00FF5468" w:rsidP="00FF5468">
      <w:pPr>
        <w:tabs>
          <w:tab w:val="left" w:pos="142"/>
          <w:tab w:val="left" w:pos="426"/>
        </w:tabs>
        <w:spacing w:after="0" w:line="240" w:lineRule="auto"/>
        <w:jc w:val="both"/>
        <w:rPr>
          <w:rFonts w:ascii="Times New Roman" w:hAnsi="Times New Roman" w:cs="Times New Roman"/>
          <w:sz w:val="21"/>
          <w:szCs w:val="21"/>
        </w:rPr>
      </w:pPr>
      <w:r w:rsidRPr="0058056C">
        <w:rPr>
          <w:rFonts w:ascii="Times New Roman" w:hAnsi="Times New Roman" w:cs="Times New Roman"/>
          <w:sz w:val="21"/>
          <w:szCs w:val="21"/>
        </w:rPr>
        <w:t>Jeśli nie, to czy Zamawiający zgodzi się na podanie cen jednostkowych za sztukę, mg, ml etc netto i brutto z dokładnością do 4 miejsc po przecinku?</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lastRenderedPageBreak/>
        <w:t>Odpowiedź:</w:t>
      </w:r>
      <w:r w:rsidR="004E2D2E" w:rsidRPr="0058056C">
        <w:rPr>
          <w:rFonts w:ascii="Times New Roman" w:hAnsi="Times New Roman" w:cs="Times New Roman"/>
          <w:sz w:val="21"/>
          <w:szCs w:val="21"/>
        </w:rPr>
        <w:t>Zamawiający wyraża zgodę na wycenę produktów w pełnych opakowaniach handlowych z odpowiednim przeliczeniem.</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p>
    <w:p w:rsidR="00FF5468" w:rsidRPr="0058056C" w:rsidRDefault="00FF5468" w:rsidP="00FF5468">
      <w:pPr>
        <w:tabs>
          <w:tab w:val="left" w:pos="142"/>
          <w:tab w:val="left" w:pos="426"/>
        </w:tabs>
        <w:spacing w:after="0" w:line="240" w:lineRule="auto"/>
        <w:jc w:val="both"/>
        <w:outlineLvl w:val="0"/>
        <w:rPr>
          <w:rFonts w:ascii="Times New Roman" w:hAnsi="Times New Roman" w:cs="Times New Roman"/>
          <w:b/>
          <w:sz w:val="21"/>
          <w:szCs w:val="21"/>
        </w:rPr>
      </w:pPr>
      <w:r w:rsidRPr="0058056C">
        <w:rPr>
          <w:rFonts w:ascii="Times New Roman" w:hAnsi="Times New Roman" w:cs="Times New Roman"/>
          <w:b/>
          <w:bCs/>
          <w:sz w:val="21"/>
          <w:szCs w:val="21"/>
        </w:rPr>
        <w:t>Pytanie 6</w:t>
      </w:r>
      <w:r w:rsidRPr="0058056C">
        <w:rPr>
          <w:rFonts w:ascii="Times New Roman" w:hAnsi="Times New Roman" w:cs="Times New Roman"/>
          <w:sz w:val="21"/>
          <w:szCs w:val="21"/>
        </w:rPr>
        <w:t>– Czy Zamawiający dopuszcza wycenę preparatów dostępnych na jednorazowe zezwolenie MZ.? W sytuacji jeśli aktualnie tylko takie jest dostępne.</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4E2D2E" w:rsidRPr="0058056C">
        <w:rPr>
          <w:rFonts w:ascii="Times New Roman" w:hAnsi="Times New Roman" w:cs="Times New Roman"/>
          <w:sz w:val="21"/>
          <w:szCs w:val="21"/>
        </w:rPr>
        <w:t xml:space="preserve">Tak, Zamawiający dopuszcza możliwość zaoferowania takich preparatów. W takim przypadku </w:t>
      </w:r>
      <w:r w:rsidR="00B72DDB" w:rsidRPr="00B72DDB">
        <w:rPr>
          <w:rFonts w:ascii="Times New Roman" w:hAnsi="Times New Roman" w:cs="Times New Roman"/>
          <w:b/>
          <w:sz w:val="21"/>
          <w:szCs w:val="21"/>
          <w:u w:val="single"/>
        </w:rPr>
        <w:t>na wezwanie</w:t>
      </w:r>
      <w:r w:rsidR="00B72DDB">
        <w:rPr>
          <w:rFonts w:ascii="Times New Roman" w:hAnsi="Times New Roman" w:cs="Times New Roman"/>
          <w:sz w:val="21"/>
          <w:szCs w:val="21"/>
        </w:rPr>
        <w:t xml:space="preserve"> należy dostarczy</w:t>
      </w:r>
      <w:r w:rsidR="00B535F1">
        <w:rPr>
          <w:rFonts w:ascii="Times New Roman" w:hAnsi="Times New Roman" w:cs="Times New Roman"/>
          <w:sz w:val="21"/>
          <w:szCs w:val="21"/>
        </w:rPr>
        <w:t>ć</w:t>
      </w:r>
      <w:r w:rsidR="004E2D2E" w:rsidRPr="0058056C">
        <w:rPr>
          <w:rFonts w:ascii="Times New Roman" w:hAnsi="Times New Roman" w:cs="Times New Roman"/>
          <w:sz w:val="21"/>
          <w:szCs w:val="21"/>
        </w:rPr>
        <w:t xml:space="preserve"> kopię aktualnego pozwolenia MZ.</w:t>
      </w:r>
    </w:p>
    <w:p w:rsidR="00FF5468" w:rsidRPr="0058056C" w:rsidRDefault="00FF5468" w:rsidP="00FF5468">
      <w:pPr>
        <w:tabs>
          <w:tab w:val="left" w:pos="142"/>
          <w:tab w:val="left" w:pos="426"/>
        </w:tabs>
        <w:spacing w:after="0" w:line="240" w:lineRule="auto"/>
        <w:jc w:val="both"/>
        <w:outlineLvl w:val="0"/>
        <w:rPr>
          <w:rFonts w:ascii="Times New Roman" w:hAnsi="Times New Roman" w:cs="Times New Roman"/>
          <w:b/>
          <w:sz w:val="21"/>
          <w:szCs w:val="21"/>
        </w:rPr>
      </w:pPr>
    </w:p>
    <w:p w:rsidR="00FF5468" w:rsidRPr="0058056C" w:rsidRDefault="00FF5468" w:rsidP="00FF5468">
      <w:pPr>
        <w:tabs>
          <w:tab w:val="left" w:pos="142"/>
          <w:tab w:val="left" w:pos="426"/>
        </w:tabs>
        <w:spacing w:after="0" w:line="240" w:lineRule="auto"/>
        <w:jc w:val="both"/>
        <w:outlineLvl w:val="0"/>
        <w:rPr>
          <w:rFonts w:ascii="Times New Roman" w:hAnsi="Times New Roman" w:cs="Times New Roman"/>
          <w:b/>
          <w:sz w:val="21"/>
          <w:szCs w:val="21"/>
        </w:rPr>
      </w:pPr>
      <w:r w:rsidRPr="0058056C">
        <w:rPr>
          <w:rFonts w:ascii="Times New Roman" w:hAnsi="Times New Roman" w:cs="Times New Roman"/>
          <w:b/>
          <w:sz w:val="21"/>
          <w:szCs w:val="21"/>
          <w:highlight w:val="yellow"/>
        </w:rPr>
        <w:t>Wykonawca nr 2</w:t>
      </w:r>
      <w:r w:rsidRPr="0058056C">
        <w:rPr>
          <w:rFonts w:ascii="Times New Roman" w:hAnsi="Times New Roman" w:cs="Times New Roman"/>
          <w:b/>
          <w:sz w:val="21"/>
          <w:szCs w:val="21"/>
        </w:rPr>
        <w:t xml:space="preserve">  </w:t>
      </w:r>
    </w:p>
    <w:p w:rsidR="00FF5468" w:rsidRPr="0058056C" w:rsidRDefault="00FF5468" w:rsidP="0058056C">
      <w:pPr>
        <w:pStyle w:val="Akapitzlist"/>
        <w:widowControl w:val="0"/>
        <w:numPr>
          <w:ilvl w:val="0"/>
          <w:numId w:val="6"/>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Czy Zamawiający wyraża zgodę na zmianę postaci form doustnych , tj. :</w:t>
      </w:r>
    </w:p>
    <w:p w:rsidR="00FF5468" w:rsidRPr="0058056C" w:rsidRDefault="00FF5468" w:rsidP="0058056C">
      <w:pPr>
        <w:pStyle w:val="Akapitzlist"/>
        <w:widowControl w:val="0"/>
        <w:numPr>
          <w:ilvl w:val="0"/>
          <w:numId w:val="5"/>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tabletek  na tabletki powlekanie i odwrotnie; ( np. pak. 16 poz. 2, 3)</w:t>
      </w:r>
      <w:r w:rsidR="00E8195A" w:rsidRPr="0058056C">
        <w:rPr>
          <w:rFonts w:ascii="Times New Roman" w:hAnsi="Times New Roman" w:cs="Times New Roman"/>
          <w:sz w:val="21"/>
          <w:szCs w:val="21"/>
        </w:rPr>
        <w:t>. Odp.</w:t>
      </w:r>
      <w:r w:rsidR="00415C98" w:rsidRPr="0058056C">
        <w:rPr>
          <w:rFonts w:ascii="Times New Roman" w:hAnsi="Times New Roman" w:cs="Times New Roman"/>
          <w:b/>
          <w:sz w:val="21"/>
          <w:szCs w:val="21"/>
        </w:rPr>
        <w:t xml:space="preserve"> TAK. Wyraża zgodę</w:t>
      </w:r>
    </w:p>
    <w:p w:rsidR="00FF5468" w:rsidRPr="0058056C" w:rsidRDefault="00FF5468" w:rsidP="0058056C">
      <w:pPr>
        <w:pStyle w:val="Akapitzlist"/>
        <w:widowControl w:val="0"/>
        <w:numPr>
          <w:ilvl w:val="0"/>
          <w:numId w:val="5"/>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tabletek na  kapsułki ( miękkie , twarde) , drażetki i odwrotnie ;</w:t>
      </w:r>
      <w:r w:rsidR="00E8195A" w:rsidRPr="0058056C">
        <w:rPr>
          <w:rFonts w:ascii="Times New Roman" w:hAnsi="Times New Roman" w:cs="Times New Roman"/>
          <w:sz w:val="21"/>
          <w:szCs w:val="21"/>
        </w:rPr>
        <w:t xml:space="preserve"> Odp.</w:t>
      </w:r>
      <w:r w:rsidR="00E8195A" w:rsidRPr="0058056C">
        <w:rPr>
          <w:rFonts w:ascii="Times New Roman" w:hAnsi="Times New Roman" w:cs="Times New Roman"/>
          <w:b/>
          <w:sz w:val="21"/>
          <w:szCs w:val="21"/>
        </w:rPr>
        <w:t xml:space="preserve"> </w:t>
      </w:r>
      <w:r w:rsidR="00415C98" w:rsidRPr="0058056C">
        <w:rPr>
          <w:rFonts w:ascii="Times New Roman" w:hAnsi="Times New Roman" w:cs="Times New Roman"/>
          <w:b/>
          <w:sz w:val="21"/>
          <w:szCs w:val="21"/>
        </w:rPr>
        <w:t>TAK. Wyraża zgodę</w:t>
      </w:r>
    </w:p>
    <w:p w:rsidR="00FF5468" w:rsidRPr="0058056C" w:rsidRDefault="00FF5468" w:rsidP="0058056C">
      <w:pPr>
        <w:pStyle w:val="Akapitzlist"/>
        <w:widowControl w:val="0"/>
        <w:numPr>
          <w:ilvl w:val="0"/>
          <w:numId w:val="5"/>
        </w:numPr>
        <w:tabs>
          <w:tab w:val="left" w:pos="142"/>
          <w:tab w:val="left" w:pos="426"/>
        </w:tabs>
        <w:suppressAutoHyphens/>
        <w:spacing w:after="0" w:line="240" w:lineRule="auto"/>
        <w:ind w:left="0" w:firstLine="0"/>
        <w:jc w:val="both"/>
        <w:rPr>
          <w:rFonts w:ascii="Times New Roman" w:hAnsi="Times New Roman" w:cs="Times New Roman"/>
          <w:b/>
          <w:sz w:val="21"/>
          <w:szCs w:val="21"/>
        </w:rPr>
      </w:pPr>
      <w:r w:rsidRPr="0058056C">
        <w:rPr>
          <w:rFonts w:ascii="Times New Roman" w:hAnsi="Times New Roman" w:cs="Times New Roman"/>
          <w:sz w:val="21"/>
          <w:szCs w:val="21"/>
        </w:rPr>
        <w:t>kapsułek  na kapsułki twarde lub miękkie i odwrotnie ;</w:t>
      </w:r>
      <w:r w:rsidR="00415C98" w:rsidRPr="0058056C">
        <w:rPr>
          <w:rFonts w:ascii="Times New Roman" w:hAnsi="Times New Roman" w:cs="Times New Roman"/>
          <w:sz w:val="21"/>
          <w:szCs w:val="21"/>
        </w:rPr>
        <w:t xml:space="preserve"> </w:t>
      </w:r>
      <w:r w:rsidR="00E8195A" w:rsidRPr="0058056C">
        <w:rPr>
          <w:rFonts w:ascii="Times New Roman" w:hAnsi="Times New Roman" w:cs="Times New Roman"/>
          <w:sz w:val="21"/>
          <w:szCs w:val="21"/>
        </w:rPr>
        <w:t>Odp.</w:t>
      </w:r>
      <w:r w:rsidR="00E8195A" w:rsidRPr="0058056C">
        <w:rPr>
          <w:rFonts w:ascii="Times New Roman" w:hAnsi="Times New Roman" w:cs="Times New Roman"/>
          <w:b/>
          <w:sz w:val="21"/>
          <w:szCs w:val="21"/>
        </w:rPr>
        <w:t xml:space="preserve"> </w:t>
      </w:r>
      <w:r w:rsidR="00415C98" w:rsidRPr="0058056C">
        <w:rPr>
          <w:rFonts w:ascii="Times New Roman" w:hAnsi="Times New Roman" w:cs="Times New Roman"/>
          <w:b/>
          <w:sz w:val="21"/>
          <w:szCs w:val="21"/>
        </w:rPr>
        <w:t>TAK. Wyraża zgodę</w:t>
      </w:r>
    </w:p>
    <w:p w:rsidR="00FF5468" w:rsidRPr="0058056C" w:rsidRDefault="00FF5468" w:rsidP="0058056C">
      <w:pPr>
        <w:pStyle w:val="Akapitzlist"/>
        <w:widowControl w:val="0"/>
        <w:numPr>
          <w:ilvl w:val="0"/>
          <w:numId w:val="5"/>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tabletek na tabletki dojelitowe i odwrotnie;</w:t>
      </w:r>
      <w:r w:rsidR="00E8195A" w:rsidRPr="0058056C">
        <w:rPr>
          <w:rFonts w:ascii="Times New Roman" w:hAnsi="Times New Roman" w:cs="Times New Roman"/>
          <w:sz w:val="21"/>
          <w:szCs w:val="21"/>
        </w:rPr>
        <w:t xml:space="preserve"> Odp.</w:t>
      </w:r>
      <w:r w:rsidR="00E8195A" w:rsidRPr="0058056C">
        <w:rPr>
          <w:rFonts w:ascii="Times New Roman" w:hAnsi="Times New Roman" w:cs="Times New Roman"/>
          <w:b/>
          <w:sz w:val="21"/>
          <w:szCs w:val="21"/>
        </w:rPr>
        <w:t xml:space="preserve"> </w:t>
      </w:r>
      <w:r w:rsidR="00415C98" w:rsidRPr="0058056C">
        <w:rPr>
          <w:rFonts w:ascii="Times New Roman" w:hAnsi="Times New Roman" w:cs="Times New Roman"/>
          <w:b/>
          <w:sz w:val="21"/>
          <w:szCs w:val="21"/>
        </w:rPr>
        <w:t xml:space="preserve">NIE WYRAŻA ZGODY </w:t>
      </w:r>
      <w:r w:rsidR="00415C98" w:rsidRPr="0058056C">
        <w:rPr>
          <w:rFonts w:ascii="Times New Roman" w:hAnsi="Times New Roman" w:cs="Times New Roman"/>
          <w:sz w:val="21"/>
          <w:szCs w:val="21"/>
        </w:rPr>
        <w:t>– jest to zamiana mająca poważne konsekwencje w zakresie kinetyki uwalniania substancji czynnej</w:t>
      </w:r>
    </w:p>
    <w:p w:rsidR="00FF5468" w:rsidRPr="0058056C" w:rsidRDefault="00FF5468" w:rsidP="0058056C">
      <w:pPr>
        <w:pStyle w:val="Akapitzlist"/>
        <w:widowControl w:val="0"/>
        <w:numPr>
          <w:ilvl w:val="0"/>
          <w:numId w:val="5"/>
        </w:numPr>
        <w:tabs>
          <w:tab w:val="left" w:pos="142"/>
          <w:tab w:val="left" w:pos="426"/>
        </w:tabs>
        <w:suppressAutoHyphens/>
        <w:spacing w:after="0" w:line="240" w:lineRule="auto"/>
        <w:ind w:left="0" w:firstLine="0"/>
        <w:jc w:val="both"/>
        <w:rPr>
          <w:rFonts w:ascii="Times New Roman" w:hAnsi="Times New Roman" w:cs="Times New Roman"/>
          <w:b/>
          <w:sz w:val="21"/>
          <w:szCs w:val="21"/>
        </w:rPr>
      </w:pPr>
      <w:r w:rsidRPr="0058056C">
        <w:rPr>
          <w:rFonts w:ascii="Times New Roman" w:hAnsi="Times New Roman" w:cs="Times New Roman"/>
          <w:sz w:val="21"/>
          <w:szCs w:val="21"/>
        </w:rPr>
        <w:t>tabletek dojelitowych na kapsułki dojelitowe i odwrotnie ;</w:t>
      </w:r>
      <w:r w:rsidR="00E8195A" w:rsidRPr="0058056C">
        <w:rPr>
          <w:rFonts w:ascii="Times New Roman" w:hAnsi="Times New Roman" w:cs="Times New Roman"/>
          <w:sz w:val="21"/>
          <w:szCs w:val="21"/>
        </w:rPr>
        <w:t xml:space="preserve"> Odp.</w:t>
      </w:r>
      <w:r w:rsidR="00E8195A" w:rsidRPr="0058056C">
        <w:rPr>
          <w:rFonts w:ascii="Times New Roman" w:hAnsi="Times New Roman" w:cs="Times New Roman"/>
          <w:b/>
          <w:sz w:val="21"/>
          <w:szCs w:val="21"/>
        </w:rPr>
        <w:t xml:space="preserve"> </w:t>
      </w:r>
      <w:r w:rsidR="00415C98" w:rsidRPr="0058056C">
        <w:rPr>
          <w:rFonts w:ascii="Times New Roman" w:hAnsi="Times New Roman" w:cs="Times New Roman"/>
          <w:b/>
          <w:sz w:val="21"/>
          <w:szCs w:val="21"/>
        </w:rPr>
        <w:t>TAK. Wyraża zgodę.</w:t>
      </w:r>
    </w:p>
    <w:p w:rsidR="00FF5468" w:rsidRPr="0058056C" w:rsidRDefault="00FF5468" w:rsidP="0058056C">
      <w:pPr>
        <w:pStyle w:val="Akapitzlist"/>
        <w:widowControl w:val="0"/>
        <w:numPr>
          <w:ilvl w:val="0"/>
          <w:numId w:val="5"/>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 xml:space="preserve">tabletek /kapsułek  o zmodyfikowanym uwalnianiu na tabletki/kapsułki o przedłużonym uwalnianiu i odwrotnie? </w:t>
      </w:r>
      <w:r w:rsidR="00E8195A" w:rsidRPr="0058056C">
        <w:rPr>
          <w:rFonts w:ascii="Times New Roman" w:hAnsi="Times New Roman" w:cs="Times New Roman"/>
          <w:sz w:val="21"/>
          <w:szCs w:val="21"/>
        </w:rPr>
        <w:t xml:space="preserve"> </w:t>
      </w:r>
      <w:r w:rsidRPr="0058056C">
        <w:rPr>
          <w:rFonts w:ascii="Times New Roman" w:hAnsi="Times New Roman" w:cs="Times New Roman"/>
          <w:sz w:val="21"/>
          <w:szCs w:val="21"/>
        </w:rPr>
        <w:t>Celem zaoferowania korzystniejszej oferty cenowej.</w:t>
      </w:r>
      <w:r w:rsidR="00E8195A" w:rsidRPr="0058056C">
        <w:rPr>
          <w:rFonts w:ascii="Times New Roman" w:hAnsi="Times New Roman" w:cs="Times New Roman"/>
          <w:sz w:val="21"/>
          <w:szCs w:val="21"/>
        </w:rPr>
        <w:t xml:space="preserve"> Odp.</w:t>
      </w:r>
      <w:r w:rsidR="00E8195A" w:rsidRPr="0058056C">
        <w:rPr>
          <w:rFonts w:ascii="Times New Roman" w:hAnsi="Times New Roman" w:cs="Times New Roman"/>
          <w:b/>
          <w:sz w:val="21"/>
          <w:szCs w:val="21"/>
        </w:rPr>
        <w:t xml:space="preserve"> </w:t>
      </w:r>
      <w:r w:rsidR="00E8195A" w:rsidRPr="0058056C">
        <w:rPr>
          <w:rFonts w:ascii="Times New Roman" w:hAnsi="Times New Roman" w:cs="Times New Roman"/>
          <w:sz w:val="21"/>
          <w:szCs w:val="21"/>
        </w:rPr>
        <w:t xml:space="preserve"> </w:t>
      </w:r>
      <w:r w:rsidR="00415C98" w:rsidRPr="0058056C">
        <w:rPr>
          <w:rFonts w:ascii="Times New Roman" w:hAnsi="Times New Roman" w:cs="Times New Roman"/>
          <w:b/>
          <w:sz w:val="21"/>
          <w:szCs w:val="21"/>
        </w:rPr>
        <w:t>TAK. Wyraża zgodę</w:t>
      </w:r>
    </w:p>
    <w:p w:rsidR="00FF5468" w:rsidRPr="0058056C" w:rsidRDefault="00FF5468" w:rsidP="0058056C">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415C98" w:rsidRPr="0058056C">
        <w:rPr>
          <w:rFonts w:ascii="Times New Roman" w:hAnsi="Times New Roman" w:cs="Times New Roman"/>
          <w:sz w:val="21"/>
          <w:szCs w:val="21"/>
        </w:rPr>
        <w:t>Poszczególne odpowiedzi dla każdego przypadku zostały zamieszczone powyżej.</w:t>
      </w:r>
    </w:p>
    <w:p w:rsidR="00FF5468" w:rsidRPr="0058056C" w:rsidRDefault="00FF5468" w:rsidP="00FF5468">
      <w:pPr>
        <w:pStyle w:val="Akapitzlist"/>
        <w:tabs>
          <w:tab w:val="left" w:pos="142"/>
          <w:tab w:val="left" w:pos="426"/>
        </w:tabs>
        <w:ind w:left="0"/>
        <w:jc w:val="both"/>
        <w:rPr>
          <w:rFonts w:ascii="Times New Roman" w:hAnsi="Times New Roman" w:cs="Times New Roman"/>
          <w:sz w:val="21"/>
          <w:szCs w:val="21"/>
        </w:rPr>
      </w:pPr>
    </w:p>
    <w:p w:rsidR="00FF5468" w:rsidRPr="0058056C" w:rsidRDefault="00FF5468" w:rsidP="00FF5468">
      <w:pPr>
        <w:pStyle w:val="Akapitzlist"/>
        <w:widowControl w:val="0"/>
        <w:numPr>
          <w:ilvl w:val="0"/>
          <w:numId w:val="6"/>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Dotyczy pak. 16 poz. 8</w:t>
      </w:r>
    </w:p>
    <w:p w:rsidR="00FF5468" w:rsidRPr="0058056C" w:rsidRDefault="00FF5468" w:rsidP="00FF5468">
      <w:pPr>
        <w:pStyle w:val="Akapitzlist"/>
        <w:tabs>
          <w:tab w:val="left" w:pos="142"/>
          <w:tab w:val="left" w:pos="426"/>
        </w:tabs>
        <w:ind w:left="0"/>
        <w:jc w:val="both"/>
        <w:rPr>
          <w:rFonts w:ascii="Times New Roman" w:hAnsi="Times New Roman" w:cs="Times New Roman"/>
          <w:sz w:val="21"/>
          <w:szCs w:val="21"/>
        </w:rPr>
      </w:pPr>
      <w:r w:rsidRPr="0058056C">
        <w:rPr>
          <w:rFonts w:ascii="Times New Roman" w:hAnsi="Times New Roman" w:cs="Times New Roman"/>
          <w:sz w:val="21"/>
          <w:szCs w:val="21"/>
        </w:rPr>
        <w:t xml:space="preserve">Czy Zamawiający dopuści do wyceny </w:t>
      </w:r>
      <w:proofErr w:type="spellStart"/>
      <w:r w:rsidRPr="0058056C">
        <w:rPr>
          <w:rFonts w:ascii="Times New Roman" w:hAnsi="Times New Roman" w:cs="Times New Roman"/>
          <w:sz w:val="21"/>
          <w:szCs w:val="21"/>
        </w:rPr>
        <w:t>Trimetazidum</w:t>
      </w:r>
      <w:proofErr w:type="spellEnd"/>
      <w:r w:rsidRPr="0058056C">
        <w:rPr>
          <w:rFonts w:ascii="Times New Roman" w:hAnsi="Times New Roman" w:cs="Times New Roman"/>
          <w:sz w:val="21"/>
          <w:szCs w:val="21"/>
        </w:rPr>
        <w:t xml:space="preserve"> 35mg  tab. o przedłużonym uwalnianiu ( tylko taka postać jest dostępna ) ? </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9A7F29">
        <w:rPr>
          <w:rFonts w:ascii="Times New Roman" w:hAnsi="Times New Roman" w:cs="Times New Roman"/>
          <w:b/>
          <w:sz w:val="21"/>
          <w:szCs w:val="21"/>
        </w:rPr>
        <w:t xml:space="preserve"> </w:t>
      </w:r>
      <w:r w:rsidR="00415C98" w:rsidRPr="0058056C">
        <w:rPr>
          <w:rFonts w:ascii="Times New Roman" w:hAnsi="Times New Roman" w:cs="Times New Roman"/>
          <w:sz w:val="21"/>
          <w:szCs w:val="21"/>
        </w:rPr>
        <w:t>Tak, Zamawiający wyraża zgodę.</w:t>
      </w:r>
    </w:p>
    <w:p w:rsidR="00FF5468" w:rsidRPr="0058056C" w:rsidRDefault="00FF5468" w:rsidP="00FF5468">
      <w:pPr>
        <w:pStyle w:val="Akapitzlist"/>
        <w:tabs>
          <w:tab w:val="left" w:pos="142"/>
          <w:tab w:val="left" w:pos="426"/>
        </w:tabs>
        <w:ind w:left="0"/>
        <w:jc w:val="both"/>
        <w:rPr>
          <w:rFonts w:ascii="Times New Roman" w:hAnsi="Times New Roman" w:cs="Times New Roman"/>
          <w:sz w:val="21"/>
          <w:szCs w:val="21"/>
        </w:rPr>
      </w:pPr>
    </w:p>
    <w:p w:rsidR="00FF5468" w:rsidRPr="0058056C" w:rsidRDefault="00FF5468" w:rsidP="00FF5468">
      <w:pPr>
        <w:pStyle w:val="Akapitzlist"/>
        <w:widowControl w:val="0"/>
        <w:numPr>
          <w:ilvl w:val="0"/>
          <w:numId w:val="6"/>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Dotyczy pak. 16 poz. 13 oraz 14</w:t>
      </w:r>
    </w:p>
    <w:p w:rsidR="00FF5468" w:rsidRPr="0058056C" w:rsidRDefault="00FF5468" w:rsidP="00FF5468">
      <w:pPr>
        <w:tabs>
          <w:tab w:val="left" w:pos="142"/>
          <w:tab w:val="left" w:pos="426"/>
        </w:tabs>
        <w:jc w:val="both"/>
        <w:rPr>
          <w:rFonts w:ascii="Times New Roman" w:hAnsi="Times New Roman" w:cs="Times New Roman"/>
          <w:sz w:val="21"/>
          <w:szCs w:val="21"/>
        </w:rPr>
      </w:pPr>
      <w:r w:rsidRPr="0058056C">
        <w:rPr>
          <w:rFonts w:ascii="Times New Roman" w:hAnsi="Times New Roman" w:cs="Times New Roman"/>
          <w:sz w:val="21"/>
          <w:szCs w:val="21"/>
        </w:rPr>
        <w:t xml:space="preserve">Czy Zamawiający dopuści do wyceny </w:t>
      </w:r>
      <w:proofErr w:type="spellStart"/>
      <w:r w:rsidRPr="0058056C">
        <w:rPr>
          <w:rFonts w:ascii="Times New Roman" w:hAnsi="Times New Roman" w:cs="Times New Roman"/>
          <w:sz w:val="21"/>
          <w:szCs w:val="21"/>
        </w:rPr>
        <w:t>Amlodipinum</w:t>
      </w:r>
      <w:proofErr w:type="spellEnd"/>
      <w:r w:rsidRPr="0058056C">
        <w:rPr>
          <w:rFonts w:ascii="Times New Roman" w:hAnsi="Times New Roman" w:cs="Times New Roman"/>
          <w:sz w:val="21"/>
          <w:szCs w:val="21"/>
        </w:rPr>
        <w:t xml:space="preserve"> + </w:t>
      </w:r>
      <w:proofErr w:type="spellStart"/>
      <w:r w:rsidRPr="0058056C">
        <w:rPr>
          <w:rFonts w:ascii="Times New Roman" w:hAnsi="Times New Roman" w:cs="Times New Roman"/>
          <w:sz w:val="21"/>
          <w:szCs w:val="21"/>
        </w:rPr>
        <w:t>indapamidum</w:t>
      </w:r>
      <w:proofErr w:type="spellEnd"/>
      <w:r w:rsidRPr="0058056C">
        <w:rPr>
          <w:rFonts w:ascii="Times New Roman" w:hAnsi="Times New Roman" w:cs="Times New Roman"/>
          <w:sz w:val="21"/>
          <w:szCs w:val="21"/>
        </w:rPr>
        <w:t xml:space="preserve"> 5+1,5mg *30 szt. oraz 10+1,5mg * 30szt. w postaci tab. o zmodyfikowanym uwalnianiu ( tylko taka postać jest dostępna )?</w:t>
      </w:r>
    </w:p>
    <w:p w:rsidR="00415C98" w:rsidRPr="0058056C" w:rsidRDefault="00FF5468" w:rsidP="00415C9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9A7F29">
        <w:rPr>
          <w:rFonts w:ascii="Times New Roman" w:hAnsi="Times New Roman" w:cs="Times New Roman"/>
          <w:b/>
          <w:sz w:val="21"/>
          <w:szCs w:val="21"/>
        </w:rPr>
        <w:t xml:space="preserve"> </w:t>
      </w:r>
      <w:r w:rsidR="00415C98" w:rsidRPr="0058056C">
        <w:rPr>
          <w:rFonts w:ascii="Times New Roman" w:hAnsi="Times New Roman" w:cs="Times New Roman"/>
          <w:sz w:val="21"/>
          <w:szCs w:val="21"/>
        </w:rPr>
        <w:t>Tak, Zamawiający wyraża zgodę.</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p>
    <w:p w:rsidR="00FF5468" w:rsidRPr="0058056C" w:rsidRDefault="00FF5468" w:rsidP="00FF5468">
      <w:pPr>
        <w:pStyle w:val="Akapitzlist"/>
        <w:widowControl w:val="0"/>
        <w:numPr>
          <w:ilvl w:val="0"/>
          <w:numId w:val="6"/>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Czy Zamawiający zezwala na wycenę leków w opakowaniu zawierającym inną ilość sztuk (np. tabletek, kapsułek, ampułek, fiolek) niż podana przez Zamawiającego, a ilość opakowań odpowiednio przeliczyć tak, aby liczba sztuk była zgodna z SIWZ? Umożliwi to złożenie oferty atrakcyjniejszej pod względem ekonomicznym.</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58056C">
        <w:rPr>
          <w:rFonts w:ascii="Times New Roman" w:hAnsi="Times New Roman" w:cs="Times New Roman"/>
          <w:b/>
          <w:sz w:val="21"/>
          <w:szCs w:val="21"/>
        </w:rPr>
        <w:t xml:space="preserve"> </w:t>
      </w:r>
      <w:r w:rsidR="00415C98" w:rsidRPr="0058056C">
        <w:rPr>
          <w:rFonts w:ascii="Times New Roman" w:hAnsi="Times New Roman" w:cs="Times New Roman"/>
          <w:sz w:val="21"/>
          <w:szCs w:val="21"/>
        </w:rPr>
        <w:t>Tak, wyraża zgodę z odpowiednim przeliczeniem ilości i zaokrągleniem do pełnego opakowania w górę (w przypadku wartości ułamkowej).</w:t>
      </w:r>
    </w:p>
    <w:p w:rsidR="00FF5468" w:rsidRPr="0058056C" w:rsidRDefault="00FF5468" w:rsidP="00FF5468">
      <w:pPr>
        <w:tabs>
          <w:tab w:val="left" w:pos="142"/>
          <w:tab w:val="left" w:pos="426"/>
        </w:tabs>
        <w:jc w:val="both"/>
        <w:rPr>
          <w:rFonts w:ascii="Times New Roman" w:hAnsi="Times New Roman" w:cs="Times New Roman"/>
          <w:sz w:val="21"/>
          <w:szCs w:val="21"/>
          <w:highlight w:val="lightGray"/>
        </w:rPr>
      </w:pPr>
    </w:p>
    <w:p w:rsidR="00FF5468" w:rsidRPr="0058056C" w:rsidRDefault="00FF5468" w:rsidP="00FF5468">
      <w:pPr>
        <w:pStyle w:val="Akapitzlist"/>
        <w:widowControl w:val="0"/>
        <w:numPr>
          <w:ilvl w:val="0"/>
          <w:numId w:val="6"/>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 xml:space="preserve">Prosimy o podanie, w jaki sposób prawidłowo przeliczyć ilość opakowań handlowych </w:t>
      </w:r>
    </w:p>
    <w:p w:rsidR="00FF5468" w:rsidRPr="0058056C" w:rsidRDefault="00FF5468" w:rsidP="00FF5468">
      <w:pPr>
        <w:tabs>
          <w:tab w:val="left" w:pos="142"/>
          <w:tab w:val="left" w:pos="426"/>
        </w:tabs>
        <w:jc w:val="both"/>
        <w:rPr>
          <w:rFonts w:ascii="Times New Roman" w:hAnsi="Times New Roman" w:cs="Times New Roman"/>
          <w:sz w:val="21"/>
          <w:szCs w:val="21"/>
        </w:rPr>
      </w:pPr>
      <w:r w:rsidRPr="0058056C">
        <w:rPr>
          <w:rFonts w:ascii="Times New Roman" w:hAnsi="Times New Roman" w:cs="Times New Roman"/>
          <w:sz w:val="21"/>
          <w:szCs w:val="21"/>
        </w:rPr>
        <w:t xml:space="preserve">w przypadku występowania na rynku opakowań posiadających inną ilość sztuk (tabletek, ampułek, kilogramów itp.), niż umieszczone w SIWZ: </w:t>
      </w:r>
    </w:p>
    <w:p w:rsidR="00FF5468" w:rsidRPr="0058056C" w:rsidRDefault="00FF5468" w:rsidP="00FF5468">
      <w:pPr>
        <w:pStyle w:val="Akapitzlist"/>
        <w:widowControl w:val="0"/>
        <w:numPr>
          <w:ilvl w:val="0"/>
          <w:numId w:val="4"/>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podawać pełne ilości opakowań zaokrąglone w górę, czy też</w:t>
      </w:r>
    </w:p>
    <w:p w:rsidR="00FF5468" w:rsidRPr="0058056C" w:rsidRDefault="00FF5468" w:rsidP="00FF5468">
      <w:pPr>
        <w:pStyle w:val="Akapitzlist"/>
        <w:widowControl w:val="0"/>
        <w:numPr>
          <w:ilvl w:val="0"/>
          <w:numId w:val="4"/>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ilość opakowań przeliczyć do dwóch miejsc po przecinku?</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415C98" w:rsidRPr="0058056C">
        <w:rPr>
          <w:rFonts w:ascii="Times New Roman" w:hAnsi="Times New Roman" w:cs="Times New Roman"/>
          <w:sz w:val="21"/>
          <w:szCs w:val="21"/>
        </w:rPr>
        <w:t>W takim przypadku ilość należy zaokrąglić do pełnego opakowania w górę.</w:t>
      </w:r>
    </w:p>
    <w:p w:rsidR="00FF5468" w:rsidRPr="0058056C" w:rsidRDefault="00FF5468" w:rsidP="00FF5468">
      <w:pPr>
        <w:pStyle w:val="Akapitzlist"/>
        <w:tabs>
          <w:tab w:val="left" w:pos="142"/>
          <w:tab w:val="left" w:pos="426"/>
        </w:tabs>
        <w:ind w:left="0"/>
        <w:jc w:val="both"/>
        <w:rPr>
          <w:rFonts w:ascii="Times New Roman" w:hAnsi="Times New Roman" w:cs="Times New Roman"/>
          <w:sz w:val="21"/>
          <w:szCs w:val="21"/>
        </w:rPr>
      </w:pPr>
    </w:p>
    <w:p w:rsidR="00FF5468" w:rsidRPr="0058056C" w:rsidRDefault="00FF5468" w:rsidP="00FF5468">
      <w:pPr>
        <w:pStyle w:val="Akapitzlist"/>
        <w:widowControl w:val="0"/>
        <w:numPr>
          <w:ilvl w:val="0"/>
          <w:numId w:val="6"/>
        </w:numPr>
        <w:tabs>
          <w:tab w:val="left" w:pos="142"/>
          <w:tab w:val="left" w:pos="426"/>
        </w:tabs>
        <w:suppressAutoHyphen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Dotyczy pakietu nr 21 poz. 2.</w:t>
      </w:r>
    </w:p>
    <w:p w:rsidR="00FF5468" w:rsidRPr="0058056C" w:rsidRDefault="00FF5468" w:rsidP="00FF5468">
      <w:pPr>
        <w:tabs>
          <w:tab w:val="left" w:pos="142"/>
          <w:tab w:val="left" w:pos="426"/>
        </w:tabs>
        <w:jc w:val="both"/>
        <w:rPr>
          <w:rFonts w:ascii="Times New Roman" w:hAnsi="Times New Roman" w:cs="Times New Roman"/>
          <w:sz w:val="21"/>
          <w:szCs w:val="21"/>
          <w:highlight w:val="lightGray"/>
        </w:rPr>
      </w:pPr>
      <w:r w:rsidRPr="0058056C">
        <w:rPr>
          <w:rFonts w:ascii="Times New Roman" w:hAnsi="Times New Roman" w:cs="Times New Roman"/>
          <w:sz w:val="21"/>
          <w:szCs w:val="21"/>
        </w:rPr>
        <w:t xml:space="preserve"> Czy Zamawiający dopuści  wycenę 25  opakowań preparatu </w:t>
      </w:r>
      <w:proofErr w:type="spellStart"/>
      <w:r w:rsidRPr="0058056C">
        <w:rPr>
          <w:rFonts w:ascii="Times New Roman" w:hAnsi="Times New Roman" w:cs="Times New Roman"/>
          <w:sz w:val="21"/>
          <w:szCs w:val="21"/>
        </w:rPr>
        <w:t>Makrogol</w:t>
      </w:r>
      <w:proofErr w:type="spellEnd"/>
      <w:r w:rsidRPr="0058056C">
        <w:rPr>
          <w:rFonts w:ascii="Times New Roman" w:hAnsi="Times New Roman" w:cs="Times New Roman"/>
          <w:sz w:val="21"/>
          <w:szCs w:val="21"/>
        </w:rPr>
        <w:t xml:space="preserve">  74 g  x 48 saszetek, który jest jedynym preparatem rekomendowanym przez Europejskie Towarzystwo Endoskopii Przewodu Pokarmowego (ESGE) w rutynowym przygotowaniu do </w:t>
      </w:r>
      <w:proofErr w:type="spellStart"/>
      <w:r w:rsidRPr="0058056C">
        <w:rPr>
          <w:rFonts w:ascii="Times New Roman" w:hAnsi="Times New Roman" w:cs="Times New Roman"/>
          <w:sz w:val="21"/>
          <w:szCs w:val="21"/>
        </w:rPr>
        <w:t>kolonoskopii</w:t>
      </w:r>
      <w:proofErr w:type="spellEnd"/>
      <w:r w:rsidRPr="0058056C">
        <w:rPr>
          <w:rFonts w:ascii="Times New Roman" w:hAnsi="Times New Roman" w:cs="Times New Roman"/>
          <w:sz w:val="21"/>
          <w:szCs w:val="21"/>
        </w:rPr>
        <w:t xml:space="preserve"> , którego oferta cenowa jest korzystna dla Zamawiającego? Z góry dziękujemy za pozytywną odpowiedź na nasze pytanie. W przypadku odpowiedzi negatywnej prosimy o dołączenie  uzasadnienia merytorycznego.</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lastRenderedPageBreak/>
        <w:t>Odpowiedź:</w:t>
      </w:r>
      <w:r w:rsidR="002873D5" w:rsidRPr="0058056C">
        <w:rPr>
          <w:rFonts w:ascii="Times New Roman" w:hAnsi="Times New Roman" w:cs="Times New Roman"/>
          <w:sz w:val="21"/>
          <w:szCs w:val="21"/>
        </w:rPr>
        <w:t xml:space="preserve">Zamawiający </w:t>
      </w:r>
      <w:r w:rsidR="002873D5" w:rsidRPr="0058056C">
        <w:rPr>
          <w:rFonts w:ascii="Times New Roman" w:hAnsi="Times New Roman" w:cs="Times New Roman"/>
          <w:b/>
          <w:sz w:val="21"/>
          <w:szCs w:val="21"/>
          <w:u w:val="single"/>
        </w:rPr>
        <w:t>nie wyraża zgody</w:t>
      </w:r>
      <w:r w:rsidR="002873D5" w:rsidRPr="0058056C">
        <w:rPr>
          <w:rFonts w:ascii="Times New Roman" w:hAnsi="Times New Roman" w:cs="Times New Roman"/>
          <w:sz w:val="21"/>
          <w:szCs w:val="21"/>
        </w:rPr>
        <w:t xml:space="preserve"> na wycenę opisanego powyżej preparatu. Produkt leczniczy wskazany w pytaniu przez Wykonawcę objęty jest już umową przetargową ZP/221/99/20 Produkt wskazany przez Zamawiającego w opisie przedmiotu zamówienia jest niezbędny dla pacjentów z reżimem płynowym bądź pacjentów, którzy nie są w stanie przyjąć objętości 4 litrów płynu </w:t>
      </w:r>
      <w:r w:rsidR="00593AFF" w:rsidRPr="0058056C">
        <w:rPr>
          <w:rFonts w:ascii="Times New Roman" w:hAnsi="Times New Roman" w:cs="Times New Roman"/>
          <w:sz w:val="21"/>
          <w:szCs w:val="21"/>
        </w:rPr>
        <w:t>przed badaniem (opisany produkt wymaga 2 litrów).</w:t>
      </w:r>
    </w:p>
    <w:p w:rsidR="00FF5468" w:rsidRPr="0058056C" w:rsidRDefault="00FF5468" w:rsidP="00FF5468">
      <w:pPr>
        <w:tabs>
          <w:tab w:val="left" w:pos="142"/>
          <w:tab w:val="left" w:pos="426"/>
        </w:tabs>
        <w:spacing w:after="0" w:line="240" w:lineRule="auto"/>
        <w:jc w:val="both"/>
        <w:outlineLvl w:val="0"/>
        <w:rPr>
          <w:rFonts w:ascii="Times New Roman" w:hAnsi="Times New Roman" w:cs="Times New Roman"/>
          <w:b/>
          <w:sz w:val="21"/>
          <w:szCs w:val="21"/>
        </w:rPr>
      </w:pPr>
    </w:p>
    <w:p w:rsidR="00FF5468" w:rsidRPr="0058056C" w:rsidRDefault="00FF5468" w:rsidP="00FF5468">
      <w:pPr>
        <w:tabs>
          <w:tab w:val="left" w:pos="142"/>
          <w:tab w:val="left" w:pos="426"/>
        </w:tabs>
        <w:spacing w:after="0" w:line="240" w:lineRule="auto"/>
        <w:jc w:val="both"/>
        <w:outlineLvl w:val="0"/>
        <w:rPr>
          <w:rFonts w:ascii="Times New Roman" w:hAnsi="Times New Roman" w:cs="Times New Roman"/>
          <w:b/>
          <w:sz w:val="21"/>
          <w:szCs w:val="21"/>
        </w:rPr>
      </w:pPr>
      <w:r w:rsidRPr="0058056C">
        <w:rPr>
          <w:rFonts w:ascii="Times New Roman" w:hAnsi="Times New Roman" w:cs="Times New Roman"/>
          <w:b/>
          <w:sz w:val="21"/>
          <w:szCs w:val="21"/>
          <w:highlight w:val="yellow"/>
        </w:rPr>
        <w:t xml:space="preserve">Wykonawca nr </w:t>
      </w:r>
      <w:r w:rsidRPr="0058056C">
        <w:rPr>
          <w:rFonts w:ascii="Times New Roman" w:hAnsi="Times New Roman" w:cs="Times New Roman"/>
          <w:b/>
          <w:sz w:val="21"/>
          <w:szCs w:val="21"/>
        </w:rPr>
        <w:t xml:space="preserve">3 </w:t>
      </w:r>
    </w:p>
    <w:p w:rsidR="00FF5468" w:rsidRPr="0058056C" w:rsidRDefault="00FF5468" w:rsidP="00FF5468">
      <w:pPr>
        <w:tabs>
          <w:tab w:val="left" w:pos="142"/>
          <w:tab w:val="left" w:pos="426"/>
        </w:tabs>
        <w:spacing w:after="0" w:line="240" w:lineRule="auto"/>
        <w:jc w:val="both"/>
        <w:outlineLvl w:val="0"/>
        <w:rPr>
          <w:rFonts w:ascii="Times New Roman" w:hAnsi="Times New Roman" w:cs="Times New Roman"/>
          <w:b/>
          <w:sz w:val="21"/>
          <w:szCs w:val="21"/>
        </w:rPr>
      </w:pPr>
    </w:p>
    <w:p w:rsidR="00FF5468" w:rsidRPr="0058056C" w:rsidRDefault="00FF5468" w:rsidP="00FF5468">
      <w:pPr>
        <w:tabs>
          <w:tab w:val="left" w:pos="142"/>
          <w:tab w:val="left" w:pos="426"/>
        </w:tabs>
        <w:spacing w:line="360" w:lineRule="auto"/>
        <w:jc w:val="both"/>
        <w:rPr>
          <w:rFonts w:ascii="Times New Roman" w:hAnsi="Times New Roman" w:cs="Times New Roman"/>
          <w:sz w:val="21"/>
          <w:szCs w:val="21"/>
        </w:rPr>
      </w:pPr>
      <w:r w:rsidRPr="0058056C">
        <w:rPr>
          <w:rFonts w:ascii="Times New Roman" w:hAnsi="Times New Roman" w:cs="Times New Roman"/>
          <w:sz w:val="21"/>
          <w:szCs w:val="21"/>
        </w:rPr>
        <w:t>Zwracamy się z uprzejmą prośbą o odpowiedź na pytania:</w:t>
      </w:r>
    </w:p>
    <w:p w:rsidR="00FF5468" w:rsidRPr="0058056C" w:rsidRDefault="00FF5468" w:rsidP="00FF5468">
      <w:pPr>
        <w:pStyle w:val="Akapitzlist"/>
        <w:numPr>
          <w:ilvl w:val="0"/>
          <w:numId w:val="7"/>
        </w:numPr>
        <w:tabs>
          <w:tab w:val="left" w:pos="142"/>
          <w:tab w:val="left" w:pos="426"/>
        </w:tab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 xml:space="preserve">Czy Zamawiający wyrazi zgodę na zaoferowanie w zadaniu nr 23 poz. 26 leku </w:t>
      </w:r>
      <w:proofErr w:type="spellStart"/>
      <w:r w:rsidRPr="0058056C">
        <w:rPr>
          <w:rFonts w:ascii="Times New Roman" w:hAnsi="Times New Roman" w:cs="Times New Roman"/>
          <w:sz w:val="21"/>
          <w:szCs w:val="21"/>
        </w:rPr>
        <w:t>Clopidogrelum</w:t>
      </w:r>
      <w:proofErr w:type="spellEnd"/>
      <w:r w:rsidRPr="0058056C">
        <w:rPr>
          <w:rFonts w:ascii="Times New Roman" w:hAnsi="Times New Roman" w:cs="Times New Roman"/>
          <w:sz w:val="21"/>
          <w:szCs w:val="21"/>
        </w:rPr>
        <w:t xml:space="preserve"> 75 mg w opakowaniu 28 </w:t>
      </w:r>
      <w:proofErr w:type="spellStart"/>
      <w:r w:rsidRPr="0058056C">
        <w:rPr>
          <w:rFonts w:ascii="Times New Roman" w:hAnsi="Times New Roman" w:cs="Times New Roman"/>
          <w:sz w:val="21"/>
          <w:szCs w:val="21"/>
        </w:rPr>
        <w:t>tabl</w:t>
      </w:r>
      <w:proofErr w:type="spellEnd"/>
      <w:r w:rsidRPr="0058056C">
        <w:rPr>
          <w:rFonts w:ascii="Times New Roman" w:hAnsi="Times New Roman" w:cs="Times New Roman"/>
          <w:sz w:val="21"/>
          <w:szCs w:val="21"/>
        </w:rPr>
        <w:t xml:space="preserve"> ? Czy ilość opakowań należy przeliczyć do pełnego opakowania w górę czy pozostawić bez zmian?</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624A15" w:rsidRPr="0058056C">
        <w:rPr>
          <w:rFonts w:ascii="Times New Roman" w:hAnsi="Times New Roman" w:cs="Times New Roman"/>
          <w:sz w:val="21"/>
          <w:szCs w:val="21"/>
        </w:rPr>
        <w:t xml:space="preserve">Zamawiający wyraża zgodę na wycenę opakowań po 28 tabl. bez zmiany ilości co oznacza, że należy zaoferować </w:t>
      </w:r>
      <w:r w:rsidR="00996374" w:rsidRPr="0058056C">
        <w:rPr>
          <w:rFonts w:ascii="Times New Roman" w:hAnsi="Times New Roman" w:cs="Times New Roman"/>
          <w:sz w:val="21"/>
          <w:szCs w:val="21"/>
        </w:rPr>
        <w:t>1000 opakowań.</w:t>
      </w:r>
    </w:p>
    <w:p w:rsidR="00FF5468" w:rsidRPr="0058056C" w:rsidRDefault="00FF5468" w:rsidP="00FF5468">
      <w:pPr>
        <w:pStyle w:val="Akapitzlist"/>
        <w:tabs>
          <w:tab w:val="left" w:pos="142"/>
          <w:tab w:val="left" w:pos="426"/>
        </w:tabs>
        <w:spacing w:after="0" w:line="240" w:lineRule="auto"/>
        <w:ind w:left="0"/>
        <w:jc w:val="both"/>
        <w:rPr>
          <w:rFonts w:ascii="Times New Roman" w:hAnsi="Times New Roman" w:cs="Times New Roman"/>
          <w:sz w:val="21"/>
          <w:szCs w:val="21"/>
        </w:rPr>
      </w:pPr>
    </w:p>
    <w:p w:rsidR="00FF5468" w:rsidRPr="0058056C" w:rsidRDefault="00FF5468" w:rsidP="00FF5468">
      <w:pPr>
        <w:pStyle w:val="Akapitzlist"/>
        <w:numPr>
          <w:ilvl w:val="0"/>
          <w:numId w:val="7"/>
        </w:numPr>
        <w:tabs>
          <w:tab w:val="left" w:pos="142"/>
          <w:tab w:val="left" w:pos="426"/>
        </w:tab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 xml:space="preserve">Czy Zamawiający wydłuży termin dostawy leku w zadaniu nr 23 poz. 17 </w:t>
      </w:r>
      <w:proofErr w:type="spellStart"/>
      <w:r w:rsidRPr="0058056C">
        <w:rPr>
          <w:rFonts w:ascii="Times New Roman" w:hAnsi="Times New Roman" w:cs="Times New Roman"/>
          <w:sz w:val="21"/>
          <w:szCs w:val="21"/>
        </w:rPr>
        <w:t>Phenobarbitalnatrium</w:t>
      </w:r>
      <w:proofErr w:type="spellEnd"/>
      <w:r w:rsidRPr="0058056C">
        <w:rPr>
          <w:rFonts w:ascii="Times New Roman" w:hAnsi="Times New Roman" w:cs="Times New Roman"/>
          <w:sz w:val="21"/>
          <w:szCs w:val="21"/>
        </w:rPr>
        <w:t xml:space="preserve"> 40mg do 6 tygodni ze względu na fakt iż lek sprowadzany jest w ramach importu docelowego i jest to minimalny okres na sprowadzenie leku na teren polski po uzyskaniu zgody z Ministerstwa Zdrowia?</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455533" w:rsidRPr="0058056C">
        <w:rPr>
          <w:rFonts w:ascii="Times New Roman" w:hAnsi="Times New Roman" w:cs="Times New Roman"/>
          <w:sz w:val="21"/>
          <w:szCs w:val="21"/>
        </w:rPr>
        <w:t>Tak, w tym przypadku Zamawiający wyraża zgodę na wydłużenie terminu realizacji.</w:t>
      </w:r>
    </w:p>
    <w:p w:rsidR="00FF5468" w:rsidRPr="0058056C" w:rsidRDefault="00FF5468" w:rsidP="00FF5468">
      <w:pPr>
        <w:pStyle w:val="Akapitzlist"/>
        <w:tabs>
          <w:tab w:val="left" w:pos="142"/>
          <w:tab w:val="left" w:pos="426"/>
        </w:tabs>
        <w:spacing w:after="0" w:line="240" w:lineRule="auto"/>
        <w:ind w:left="0"/>
        <w:jc w:val="both"/>
        <w:rPr>
          <w:rFonts w:ascii="Times New Roman" w:hAnsi="Times New Roman" w:cs="Times New Roman"/>
          <w:sz w:val="21"/>
          <w:szCs w:val="21"/>
        </w:rPr>
      </w:pPr>
    </w:p>
    <w:p w:rsidR="00FF5468" w:rsidRPr="0058056C" w:rsidRDefault="00FF5468" w:rsidP="00FF5468">
      <w:pPr>
        <w:pStyle w:val="Akapitzlist"/>
        <w:numPr>
          <w:ilvl w:val="0"/>
          <w:numId w:val="7"/>
        </w:numPr>
        <w:tabs>
          <w:tab w:val="left" w:pos="142"/>
          <w:tab w:val="left" w:pos="426"/>
        </w:tab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 xml:space="preserve">Czy Zamawiający w par. 10.1 usunie minimalną wartość kary umownej poprzez wykreślenie frazy: „nie mniej niż 50zł”? Taki sposób ustalenia kary umownej może prowadzić do jej naliczenia </w:t>
      </w:r>
      <w:r w:rsidRPr="0058056C">
        <w:rPr>
          <w:rFonts w:ascii="Times New Roman" w:hAnsi="Times New Roman" w:cs="Times New Roman"/>
          <w:sz w:val="21"/>
          <w:szCs w:val="21"/>
          <w:u w:val="single"/>
        </w:rPr>
        <w:t>w rażąco wygórowanej wysokości.</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C83BFC" w:rsidRPr="0058056C">
        <w:rPr>
          <w:rFonts w:ascii="Times New Roman" w:hAnsi="Times New Roman" w:cs="Times New Roman"/>
          <w:sz w:val="21"/>
          <w:szCs w:val="21"/>
        </w:rPr>
        <w:t xml:space="preserve">Zamawiający nie wyraża zgody na zmiany </w:t>
      </w:r>
      <w:r w:rsidR="00323610" w:rsidRPr="0058056C">
        <w:rPr>
          <w:rFonts w:ascii="Times New Roman" w:hAnsi="Times New Roman" w:cs="Times New Roman"/>
          <w:sz w:val="21"/>
          <w:szCs w:val="21"/>
        </w:rPr>
        <w:t>zapisów dotyczących kar umownych.</w:t>
      </w:r>
    </w:p>
    <w:p w:rsidR="00FF5468" w:rsidRPr="0058056C" w:rsidRDefault="00FF5468" w:rsidP="00FF5468">
      <w:pPr>
        <w:pStyle w:val="Akapitzlist"/>
        <w:tabs>
          <w:tab w:val="left" w:pos="142"/>
          <w:tab w:val="left" w:pos="426"/>
        </w:tabs>
        <w:spacing w:after="0" w:line="240" w:lineRule="auto"/>
        <w:ind w:left="0"/>
        <w:jc w:val="both"/>
        <w:rPr>
          <w:rFonts w:ascii="Times New Roman" w:hAnsi="Times New Roman" w:cs="Times New Roman"/>
          <w:sz w:val="21"/>
          <w:szCs w:val="21"/>
        </w:rPr>
      </w:pPr>
    </w:p>
    <w:p w:rsidR="00FF5468" w:rsidRPr="0058056C" w:rsidRDefault="00FF5468" w:rsidP="00FF5468">
      <w:pPr>
        <w:pStyle w:val="Akapitzlist"/>
        <w:numPr>
          <w:ilvl w:val="0"/>
          <w:numId w:val="7"/>
        </w:numPr>
        <w:tabs>
          <w:tab w:val="left" w:pos="142"/>
          <w:tab w:val="left" w:pos="426"/>
        </w:tabs>
        <w:autoSpaceDE w:val="0"/>
        <w:autoSpaceDN w:val="0"/>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Czy Zamawiający w par. 13.1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323610" w:rsidRPr="0058056C">
        <w:rPr>
          <w:rFonts w:ascii="Times New Roman" w:hAnsi="Times New Roman" w:cs="Times New Roman"/>
          <w:sz w:val="21"/>
          <w:szCs w:val="21"/>
        </w:rPr>
        <w:t xml:space="preserve">Zamawiający nie wyraża zgody na wprowadzenie powyższego zapisu. Wymogiem Zamawiającego jest zapewnienie dostaw produktów leczniczych przez cały okres trwania umowy a w przypadku braku leku na rynku – zamiennika. </w:t>
      </w:r>
    </w:p>
    <w:p w:rsidR="00FF5468" w:rsidRPr="0058056C" w:rsidRDefault="00FF5468" w:rsidP="00FF5468">
      <w:pPr>
        <w:pStyle w:val="Akapitzlist"/>
        <w:tabs>
          <w:tab w:val="left" w:pos="142"/>
          <w:tab w:val="left" w:pos="426"/>
        </w:tabs>
        <w:autoSpaceDE w:val="0"/>
        <w:autoSpaceDN w:val="0"/>
        <w:spacing w:after="0" w:line="240" w:lineRule="auto"/>
        <w:ind w:left="0"/>
        <w:jc w:val="both"/>
        <w:rPr>
          <w:rFonts w:ascii="Times New Roman" w:hAnsi="Times New Roman" w:cs="Times New Roman"/>
          <w:sz w:val="21"/>
          <w:szCs w:val="21"/>
        </w:rPr>
      </w:pPr>
    </w:p>
    <w:p w:rsidR="00FF5468" w:rsidRPr="0058056C" w:rsidRDefault="00FF5468" w:rsidP="00FF5468">
      <w:pPr>
        <w:pStyle w:val="Akapitzlist"/>
        <w:numPr>
          <w:ilvl w:val="0"/>
          <w:numId w:val="7"/>
        </w:numPr>
        <w:tabs>
          <w:tab w:val="left" w:pos="142"/>
          <w:tab w:val="left" w:pos="426"/>
        </w:tabs>
        <w:spacing w:after="0" w:line="240" w:lineRule="auto"/>
        <w:ind w:left="0" w:firstLine="0"/>
        <w:jc w:val="both"/>
        <w:rPr>
          <w:rFonts w:ascii="Times New Roman" w:hAnsi="Times New Roman" w:cs="Times New Roman"/>
          <w:sz w:val="21"/>
          <w:szCs w:val="21"/>
        </w:rPr>
      </w:pPr>
      <w:r w:rsidRPr="0058056C">
        <w:rPr>
          <w:rFonts w:ascii="Times New Roman" w:hAnsi="Times New Roman" w:cs="Times New Roman"/>
          <w:sz w:val="21"/>
          <w:szCs w:val="21"/>
        </w:rPr>
        <w:t>Czy Zamawiający w par. 20.3 uzależni przedłużenie umowy od woli obu stron, a nie tylko od oświadczenia Zamawiającego? Konieczność utrzymywania zapasów magazynowych i cen produktów przez dodatkowe 12 miesięcy (czyli 50% pierwotnego okresu umowy)  stanowi istotne obciążenie dla Wykonawcy i działania takie nie zawsze są biznesowo możliwe.</w:t>
      </w:r>
    </w:p>
    <w:p w:rsidR="00FF5468" w:rsidRPr="0058056C" w:rsidRDefault="00FF5468" w:rsidP="00FF5468">
      <w:pPr>
        <w:pStyle w:val="Default"/>
        <w:tabs>
          <w:tab w:val="left" w:pos="142"/>
          <w:tab w:val="left" w:pos="426"/>
        </w:tabs>
        <w:jc w:val="both"/>
        <w:rPr>
          <w:rFonts w:ascii="Times New Roman" w:hAnsi="Times New Roman" w:cs="Times New Roman"/>
          <w:sz w:val="21"/>
          <w:szCs w:val="21"/>
        </w:rPr>
      </w:pPr>
      <w:r w:rsidRPr="0058056C">
        <w:rPr>
          <w:rFonts w:ascii="Times New Roman" w:hAnsi="Times New Roman" w:cs="Times New Roman"/>
          <w:b/>
          <w:sz w:val="21"/>
          <w:szCs w:val="21"/>
        </w:rPr>
        <w:t>Odpowiedź:</w:t>
      </w:r>
      <w:r w:rsidR="0058056C">
        <w:rPr>
          <w:rFonts w:ascii="Times New Roman" w:hAnsi="Times New Roman" w:cs="Times New Roman"/>
          <w:b/>
          <w:sz w:val="21"/>
          <w:szCs w:val="21"/>
        </w:rPr>
        <w:t xml:space="preserve"> </w:t>
      </w:r>
      <w:r w:rsidR="00323610" w:rsidRPr="0058056C">
        <w:rPr>
          <w:rFonts w:ascii="Times New Roman" w:hAnsi="Times New Roman" w:cs="Times New Roman"/>
          <w:sz w:val="21"/>
          <w:szCs w:val="21"/>
        </w:rPr>
        <w:t>Zamawiający nie wyraża zgody na wprowadzenie powyższego zapisu. Jednocześnie Zamawiający zwraca uwagę wykonawców, że zapis ten absolutnie nie jest przez zamawiającego wykorzystywany a stosowany jedynie w szczególnych sytuacjach, obejmujących przede wszystkim dostawę leków stosowanych w programach lekowych i chemioterapii (posiadających cenę urzędową), których sprzedaż nie wiąże się z żadną stratą dla Wykonawcy.</w:t>
      </w:r>
      <w:bookmarkStart w:id="2" w:name="_GoBack"/>
      <w:bookmarkEnd w:id="2"/>
    </w:p>
    <w:p w:rsidR="00FF5468" w:rsidRPr="0058056C" w:rsidRDefault="00FF5468" w:rsidP="00FF5468">
      <w:pPr>
        <w:spacing w:after="0" w:line="240" w:lineRule="auto"/>
        <w:jc w:val="both"/>
        <w:outlineLvl w:val="0"/>
        <w:rPr>
          <w:rFonts w:ascii="Times New Roman" w:hAnsi="Times New Roman" w:cs="Times New Roman"/>
          <w:sz w:val="21"/>
          <w:szCs w:val="21"/>
          <w:lang w:eastAsia="pl-PL"/>
        </w:rPr>
      </w:pPr>
    </w:p>
    <w:p w:rsidR="008E7136" w:rsidRPr="0058056C" w:rsidRDefault="008E7136" w:rsidP="00FF5468">
      <w:pPr>
        <w:spacing w:after="0" w:line="240" w:lineRule="auto"/>
        <w:jc w:val="both"/>
        <w:outlineLvl w:val="0"/>
        <w:rPr>
          <w:rFonts w:ascii="Times New Roman" w:hAnsi="Times New Roman" w:cs="Times New Roman"/>
          <w:sz w:val="21"/>
          <w:szCs w:val="21"/>
          <w:lang w:eastAsia="pl-PL"/>
        </w:rPr>
      </w:pPr>
    </w:p>
    <w:p w:rsidR="008E7136" w:rsidRPr="0058056C" w:rsidRDefault="008E7136" w:rsidP="008E7136">
      <w:pPr>
        <w:tabs>
          <w:tab w:val="left" w:pos="142"/>
          <w:tab w:val="left" w:pos="426"/>
        </w:tabs>
        <w:spacing w:after="0" w:line="240" w:lineRule="auto"/>
        <w:jc w:val="both"/>
        <w:outlineLvl w:val="0"/>
        <w:rPr>
          <w:rFonts w:ascii="Times New Roman" w:hAnsi="Times New Roman" w:cs="Times New Roman"/>
          <w:b/>
          <w:sz w:val="21"/>
          <w:szCs w:val="21"/>
        </w:rPr>
      </w:pPr>
      <w:r w:rsidRPr="0058056C">
        <w:rPr>
          <w:rFonts w:ascii="Times New Roman" w:hAnsi="Times New Roman" w:cs="Times New Roman"/>
          <w:b/>
          <w:sz w:val="21"/>
          <w:szCs w:val="21"/>
          <w:highlight w:val="yellow"/>
        </w:rPr>
        <w:t xml:space="preserve">Wykonawca nr </w:t>
      </w:r>
      <w:r w:rsidRPr="0058056C">
        <w:rPr>
          <w:rFonts w:ascii="Times New Roman" w:hAnsi="Times New Roman" w:cs="Times New Roman"/>
          <w:b/>
          <w:sz w:val="21"/>
          <w:szCs w:val="21"/>
        </w:rPr>
        <w:t xml:space="preserve">4 </w:t>
      </w:r>
    </w:p>
    <w:p w:rsidR="008E7136" w:rsidRPr="0058056C" w:rsidRDefault="008E7136" w:rsidP="008E7136">
      <w:pPr>
        <w:rPr>
          <w:rFonts w:ascii="Times New Roman" w:hAnsi="Times New Roman" w:cs="Times New Roman"/>
          <w:sz w:val="21"/>
          <w:szCs w:val="21"/>
        </w:rPr>
      </w:pPr>
    </w:p>
    <w:p w:rsidR="008E7136" w:rsidRPr="0058056C" w:rsidRDefault="008E7136" w:rsidP="008E7136">
      <w:pPr>
        <w:numPr>
          <w:ilvl w:val="0"/>
          <w:numId w:val="8"/>
        </w:numPr>
        <w:spacing w:after="0" w:line="240" w:lineRule="auto"/>
        <w:ind w:left="426" w:hanging="426"/>
        <w:jc w:val="both"/>
        <w:rPr>
          <w:rFonts w:ascii="Times New Roman" w:hAnsi="Times New Roman" w:cs="Times New Roman"/>
          <w:sz w:val="21"/>
          <w:szCs w:val="21"/>
        </w:rPr>
      </w:pPr>
      <w:r w:rsidRPr="0058056C">
        <w:rPr>
          <w:rFonts w:ascii="Times New Roman" w:hAnsi="Times New Roman" w:cs="Times New Roman"/>
          <w:b/>
          <w:bCs/>
          <w:sz w:val="21"/>
          <w:szCs w:val="21"/>
        </w:rPr>
        <w:t>Pakiet 1 poz. 3 –</w:t>
      </w:r>
      <w:r w:rsidRPr="0058056C">
        <w:rPr>
          <w:rFonts w:ascii="Times New Roman" w:hAnsi="Times New Roman" w:cs="Times New Roman"/>
          <w:sz w:val="21"/>
          <w:szCs w:val="21"/>
        </w:rPr>
        <w:t xml:space="preserve"> Czy Zamawiający oczekuje zaoferowania w pozycji 3 produktu leczniczego </w:t>
      </w:r>
      <w:proofErr w:type="spellStart"/>
      <w:r w:rsidRPr="0058056C">
        <w:rPr>
          <w:rFonts w:ascii="Times New Roman" w:hAnsi="Times New Roman" w:cs="Times New Roman"/>
          <w:sz w:val="21"/>
          <w:szCs w:val="21"/>
        </w:rPr>
        <w:t>Dextran</w:t>
      </w:r>
      <w:proofErr w:type="spellEnd"/>
      <w:r w:rsidRPr="0058056C">
        <w:rPr>
          <w:rFonts w:ascii="Times New Roman" w:hAnsi="Times New Roman" w:cs="Times New Roman"/>
          <w:sz w:val="21"/>
          <w:szCs w:val="21"/>
        </w:rPr>
        <w:t xml:space="preserve"> 10% 250ml w butelce szklanej ? Z informacji Wykonawcy wynika, iż jest to obecnie jedyny rodzaj opakowania występujący na rynku.</w:t>
      </w:r>
    </w:p>
    <w:p w:rsidR="008E7136" w:rsidRPr="0058056C" w:rsidRDefault="008E7136" w:rsidP="008E7136">
      <w:pPr>
        <w:ind w:left="426"/>
        <w:jc w:val="both"/>
        <w:rPr>
          <w:rFonts w:ascii="Times New Roman" w:hAnsi="Times New Roman" w:cs="Times New Roman"/>
          <w:sz w:val="21"/>
          <w:szCs w:val="21"/>
        </w:rPr>
      </w:pPr>
      <w:r w:rsidRPr="0058056C">
        <w:rPr>
          <w:rFonts w:ascii="Times New Roman" w:hAnsi="Times New Roman" w:cs="Times New Roman"/>
          <w:b/>
          <w:bCs/>
          <w:sz w:val="21"/>
          <w:szCs w:val="21"/>
        </w:rPr>
        <w:t>Odpowiedź:</w:t>
      </w:r>
      <w:r w:rsidRPr="0058056C">
        <w:rPr>
          <w:rFonts w:ascii="Times New Roman" w:hAnsi="Times New Roman" w:cs="Times New Roman"/>
          <w:sz w:val="21"/>
          <w:szCs w:val="21"/>
        </w:rPr>
        <w:t xml:space="preserve"> Zamawiający dopuszcza opakowanie typu butelka szklana, nie wymaga.</w:t>
      </w:r>
    </w:p>
    <w:p w:rsidR="008E7136" w:rsidRPr="0058056C" w:rsidRDefault="008E7136" w:rsidP="008E7136">
      <w:pPr>
        <w:numPr>
          <w:ilvl w:val="0"/>
          <w:numId w:val="8"/>
        </w:numPr>
        <w:spacing w:after="0" w:line="240" w:lineRule="auto"/>
        <w:ind w:left="426" w:hanging="426"/>
        <w:jc w:val="both"/>
        <w:rPr>
          <w:rFonts w:ascii="Times New Roman" w:hAnsi="Times New Roman" w:cs="Times New Roman"/>
          <w:sz w:val="21"/>
          <w:szCs w:val="21"/>
        </w:rPr>
      </w:pPr>
      <w:r w:rsidRPr="0058056C">
        <w:rPr>
          <w:rFonts w:ascii="Times New Roman" w:hAnsi="Times New Roman" w:cs="Times New Roman"/>
          <w:b/>
          <w:bCs/>
          <w:sz w:val="21"/>
          <w:szCs w:val="21"/>
        </w:rPr>
        <w:t>Pakiet 4 -</w:t>
      </w:r>
      <w:r w:rsidRPr="0058056C">
        <w:rPr>
          <w:rFonts w:ascii="Times New Roman" w:hAnsi="Times New Roman" w:cs="Times New Roman"/>
          <w:sz w:val="21"/>
          <w:szCs w:val="21"/>
        </w:rPr>
        <w:t xml:space="preserve"> Czy  w związku z tym, że żelatyna o stężeniu 3% i 4% posiadają identyczne dawkowanie oraz efekt terapeutyczny – co jest potwierdzone zapisami w Charakterystykach Produktów Leczniczych – zamawiający odstąpi od przyznawania dodatkowych punktów w ramach kryterium jakościowego, gdyż w obliczu zapisów w Charakterystykach Produktów Leczniczych przyznawanie dodatkowych punktów produktowi leczniczemu o </w:t>
      </w:r>
      <w:r w:rsidRPr="0058056C">
        <w:rPr>
          <w:rFonts w:ascii="Times New Roman" w:hAnsi="Times New Roman" w:cs="Times New Roman"/>
          <w:sz w:val="21"/>
          <w:szCs w:val="21"/>
        </w:rPr>
        <w:lastRenderedPageBreak/>
        <w:t>wyższym stężeniu żelatyny jest w zasadzie nieracjonalne. Dodatkowo żelatyna o stężeniu 3% posiada szersze wskazania niż żelatyna o stężeniu 4%. Ponadto odstąpienie od tego kryterium, które nie posiada umocowania klinicznego pozwoli na uzyskanie korzystniejszej oferty cenowej przy zachowaniu bardzo wysokiej jakości produktu leczniczego.</w:t>
      </w:r>
    </w:p>
    <w:p w:rsidR="008E7136" w:rsidRPr="0058056C" w:rsidRDefault="008E7136" w:rsidP="008E7136">
      <w:pPr>
        <w:ind w:left="426"/>
        <w:jc w:val="both"/>
        <w:rPr>
          <w:rFonts w:ascii="Times New Roman" w:hAnsi="Times New Roman" w:cs="Times New Roman"/>
          <w:sz w:val="21"/>
          <w:szCs w:val="21"/>
        </w:rPr>
      </w:pPr>
      <w:r w:rsidRPr="0058056C">
        <w:rPr>
          <w:rFonts w:ascii="Times New Roman" w:hAnsi="Times New Roman" w:cs="Times New Roman"/>
          <w:b/>
          <w:bCs/>
          <w:sz w:val="21"/>
          <w:szCs w:val="21"/>
        </w:rPr>
        <w:t>Odpowiedź:</w:t>
      </w:r>
      <w:r w:rsidRPr="0058056C">
        <w:rPr>
          <w:rFonts w:ascii="Times New Roman" w:hAnsi="Times New Roman" w:cs="Times New Roman"/>
          <w:sz w:val="21"/>
          <w:szCs w:val="21"/>
        </w:rPr>
        <w:t xml:space="preserve"> Aktualnie na rynku dostępne są dwa produkty handlowe, zawierające żelatynę w stężeniach 3% oraz 4%. Stężenie żelatyny nie jest jedynym czynnikiem różnicującym oba produkty. Żelatyna w preparacie 4% jest w pełni </w:t>
      </w:r>
      <w:proofErr w:type="spellStart"/>
      <w:r w:rsidRPr="0058056C">
        <w:rPr>
          <w:rFonts w:ascii="Times New Roman" w:hAnsi="Times New Roman" w:cs="Times New Roman"/>
          <w:sz w:val="21"/>
          <w:szCs w:val="21"/>
        </w:rPr>
        <w:t>sukcynylowana</w:t>
      </w:r>
      <w:proofErr w:type="spellEnd"/>
      <w:r w:rsidRPr="0058056C">
        <w:rPr>
          <w:rFonts w:ascii="Times New Roman" w:hAnsi="Times New Roman" w:cs="Times New Roman"/>
          <w:sz w:val="21"/>
          <w:szCs w:val="21"/>
        </w:rPr>
        <w:t xml:space="preserve">, co w następstwie może przekładać się na zwiększony efekt objętościowy a także wydłużony czas działania w porównaniu z żelatyną 3% Ponadto oba preparaty cechuje odmienny skład elektrolitowy, preparat z żelatyną 4% zawiera dodatek wapnia a także octany w miejsce mleczanów, niwelując w ten sposób ryzyko rozwoju kwasicy mleczanowej w trakcie stosowania. Uwzględnienie tych wszystkich różnic w ocenie jakościowej skutkowałoby koniecznością wprowadzenia mało czytelnej i dość skomplikowanej punktacji, ponadto przyznanie wagi poszczególnym kryteriom byłoby mocno dyskusyjne. Biorąc pod uwagę, że wszystkie te różnice są ściśle powiązane ze stężeniem żelatyny, Zamawiający zdecydował o wprowadzeniu jednego czytelnego i przejrzystego kryterium oceny jakościowej jakim jest stężenie żelatyny. Zastosowanie w swoim produkcie zawartości głównego składnika w zwiększonej ilości, odmienny proces technologiczny polegający na pełnej </w:t>
      </w:r>
      <w:proofErr w:type="spellStart"/>
      <w:r w:rsidRPr="0058056C">
        <w:rPr>
          <w:rFonts w:ascii="Times New Roman" w:hAnsi="Times New Roman" w:cs="Times New Roman"/>
          <w:sz w:val="21"/>
          <w:szCs w:val="21"/>
        </w:rPr>
        <w:t>sukcynylacji</w:t>
      </w:r>
      <w:proofErr w:type="spellEnd"/>
      <w:r w:rsidRPr="0058056C">
        <w:rPr>
          <w:rFonts w:ascii="Times New Roman" w:hAnsi="Times New Roman" w:cs="Times New Roman"/>
          <w:sz w:val="21"/>
          <w:szCs w:val="21"/>
        </w:rPr>
        <w:t xml:space="preserve">, bogatszy skład elektrolitowy czynią ten produkt droższy od żelatyny 3% Brak kryterium oceny jakościowej skutkowałby zdecydowanym faworyzowaniem producenta żelatyny 3%, który z racji niższej ceny rynkowej (co potwierdziło badanie rynku przez Zamawiającego w trakcie szacowania wartości zamówienia) miałby </w:t>
      </w:r>
      <w:r w:rsidRPr="0058056C">
        <w:rPr>
          <w:rFonts w:ascii="Times New Roman" w:hAnsi="Times New Roman" w:cs="Times New Roman"/>
          <w:i/>
          <w:sz w:val="21"/>
          <w:szCs w:val="21"/>
        </w:rPr>
        <w:t>a priori</w:t>
      </w:r>
      <w:r w:rsidRPr="0058056C">
        <w:rPr>
          <w:rFonts w:ascii="Times New Roman" w:hAnsi="Times New Roman" w:cs="Times New Roman"/>
          <w:sz w:val="21"/>
          <w:szCs w:val="21"/>
        </w:rPr>
        <w:t xml:space="preserve"> wyższe szanse na wygranie przetargu, produkt żelatyny 4% nie mógłby uczciwie konkurować z swoim 3% odpowiednikiem.  Wprowadzenie kryterium oceny jakościowej przywraca możliwość uczciwej konkurencji i wyrównuje szanse obu producentów. Waga przyznanych dodatkowych punktów odpowiada dokładnie różnicy w stężeniu żelatyny. Zamawiający nie zgadza się z twierdzeniem, że takie działanie jest nieracjonalne. Jest to celowo skonstruowany opis przedmiotu zamówienia z oceną jakościową, która nie faworyzuje dodatkowo tańszego preparatu a umożliwia uczciwą konkurencję z gwarancją porównywalności dwóch produktów o podobnym działaniu ale również znaczących różnicach. W związku z powyższym Zamawiający nie wyraża zgody na odstąpienie w zakresie tego zadania od kryterium oceny jakościowej.</w:t>
      </w:r>
    </w:p>
    <w:p w:rsidR="008E7136" w:rsidRPr="0058056C" w:rsidRDefault="008E7136" w:rsidP="008E7136">
      <w:pPr>
        <w:numPr>
          <w:ilvl w:val="0"/>
          <w:numId w:val="8"/>
        </w:numPr>
        <w:spacing w:after="0" w:line="240" w:lineRule="auto"/>
        <w:ind w:left="426" w:hanging="426"/>
        <w:jc w:val="both"/>
        <w:rPr>
          <w:rFonts w:ascii="Times New Roman" w:hAnsi="Times New Roman" w:cs="Times New Roman"/>
          <w:sz w:val="21"/>
          <w:szCs w:val="21"/>
        </w:rPr>
      </w:pPr>
      <w:r w:rsidRPr="0058056C">
        <w:rPr>
          <w:rFonts w:ascii="Times New Roman" w:hAnsi="Times New Roman" w:cs="Times New Roman"/>
          <w:b/>
          <w:bCs/>
          <w:sz w:val="21"/>
          <w:szCs w:val="21"/>
        </w:rPr>
        <w:t xml:space="preserve">Pakiet 4 – </w:t>
      </w:r>
      <w:r w:rsidRPr="0058056C">
        <w:rPr>
          <w:rFonts w:ascii="Times New Roman" w:hAnsi="Times New Roman" w:cs="Times New Roman"/>
          <w:sz w:val="21"/>
          <w:szCs w:val="21"/>
        </w:rPr>
        <w:t xml:space="preserve">czy Zamawiający wyrazi zgodę na zaoferowanie produktu leczniczego w opakowaniu zbiorczym x 20 szt. z przeliczeniem ilości ? </w:t>
      </w:r>
    </w:p>
    <w:p w:rsidR="008E7136" w:rsidRPr="0058056C" w:rsidRDefault="008E7136" w:rsidP="008E7136">
      <w:pPr>
        <w:ind w:left="426"/>
        <w:jc w:val="both"/>
        <w:rPr>
          <w:rFonts w:ascii="Times New Roman" w:hAnsi="Times New Roman" w:cs="Times New Roman"/>
          <w:sz w:val="21"/>
          <w:szCs w:val="21"/>
        </w:rPr>
      </w:pPr>
      <w:r w:rsidRPr="0058056C">
        <w:rPr>
          <w:rFonts w:ascii="Times New Roman" w:hAnsi="Times New Roman" w:cs="Times New Roman"/>
          <w:b/>
          <w:bCs/>
          <w:sz w:val="21"/>
          <w:szCs w:val="21"/>
        </w:rPr>
        <w:t>Odpowiedź:</w:t>
      </w:r>
      <w:r w:rsidRPr="0058056C">
        <w:rPr>
          <w:rFonts w:ascii="Times New Roman" w:hAnsi="Times New Roman" w:cs="Times New Roman"/>
          <w:sz w:val="21"/>
          <w:szCs w:val="21"/>
        </w:rPr>
        <w:t xml:space="preserve"> Zamawiający wyraża zgodę.</w:t>
      </w:r>
    </w:p>
    <w:p w:rsidR="008E7136" w:rsidRPr="0058056C" w:rsidRDefault="008E7136" w:rsidP="008E7136">
      <w:pPr>
        <w:numPr>
          <w:ilvl w:val="0"/>
          <w:numId w:val="8"/>
        </w:numPr>
        <w:spacing w:after="0" w:line="240" w:lineRule="auto"/>
        <w:ind w:left="426" w:hanging="426"/>
        <w:jc w:val="both"/>
        <w:rPr>
          <w:rFonts w:ascii="Times New Roman" w:hAnsi="Times New Roman" w:cs="Times New Roman"/>
          <w:sz w:val="21"/>
          <w:szCs w:val="21"/>
        </w:rPr>
      </w:pPr>
      <w:r w:rsidRPr="0058056C">
        <w:rPr>
          <w:rFonts w:ascii="Times New Roman" w:hAnsi="Times New Roman" w:cs="Times New Roman"/>
          <w:b/>
          <w:bCs/>
          <w:sz w:val="21"/>
          <w:szCs w:val="21"/>
        </w:rPr>
        <w:t>Dotyczy § 10 ust. 1 lit. d) umowy</w:t>
      </w:r>
      <w:r w:rsidRPr="0058056C">
        <w:rPr>
          <w:rFonts w:ascii="Times New Roman" w:hAnsi="Times New Roman" w:cs="Times New Roman"/>
          <w:sz w:val="21"/>
          <w:szCs w:val="21"/>
        </w:rPr>
        <w:t xml:space="preserve"> – prosimy o ujednolicenie zapisów dotyczących podstawy naliczania kary umownej za odstąpienie od umowy. Obecnie podstawą naliczania karu umownej za odstąpienie jest wartości brutto umowy określonej w § 7 umowy, bądź wartości danego zadania  określonego w Formularzu cen jednostkowych, co sprawia że Wykonawca nie może obliczyć ryzyka związanego z naliczeniem kary umownej za odstąpienie. Proponujemy aby wysokość kary umownej za odstąpienie liczyć od wartość niezrealizowanej części umowy?</w:t>
      </w:r>
    </w:p>
    <w:p w:rsidR="008E7136" w:rsidRPr="0058056C" w:rsidRDefault="008E7136" w:rsidP="008E7136">
      <w:pPr>
        <w:ind w:left="426"/>
        <w:jc w:val="both"/>
        <w:rPr>
          <w:rFonts w:ascii="Times New Roman" w:hAnsi="Times New Roman" w:cs="Times New Roman"/>
          <w:sz w:val="21"/>
          <w:szCs w:val="21"/>
        </w:rPr>
      </w:pPr>
      <w:r w:rsidRPr="0058056C">
        <w:rPr>
          <w:rFonts w:ascii="Times New Roman" w:hAnsi="Times New Roman" w:cs="Times New Roman"/>
          <w:b/>
          <w:bCs/>
          <w:sz w:val="21"/>
          <w:szCs w:val="21"/>
        </w:rPr>
        <w:t>Odpowiedź</w:t>
      </w:r>
      <w:r w:rsidRPr="0058056C">
        <w:rPr>
          <w:rFonts w:ascii="Times New Roman" w:hAnsi="Times New Roman" w:cs="Times New Roman"/>
          <w:sz w:val="21"/>
          <w:szCs w:val="21"/>
        </w:rPr>
        <w:t>: Zamawiający nie wyraża zgody na wprowadzenie proponowanego zapisu. Intencją Zamawiającego jest zapewnienie realizacji umowy do końca czasu jej obowiązywania.</w:t>
      </w:r>
    </w:p>
    <w:p w:rsidR="008E7136" w:rsidRPr="0058056C" w:rsidRDefault="008E7136" w:rsidP="008E7136">
      <w:pPr>
        <w:numPr>
          <w:ilvl w:val="0"/>
          <w:numId w:val="8"/>
        </w:numPr>
        <w:spacing w:after="0" w:line="240" w:lineRule="auto"/>
        <w:ind w:left="426" w:hanging="426"/>
        <w:jc w:val="both"/>
        <w:rPr>
          <w:rFonts w:ascii="Times New Roman" w:hAnsi="Times New Roman" w:cs="Times New Roman"/>
          <w:sz w:val="21"/>
          <w:szCs w:val="21"/>
        </w:rPr>
      </w:pPr>
      <w:r w:rsidRPr="0058056C">
        <w:rPr>
          <w:rFonts w:ascii="Times New Roman" w:hAnsi="Times New Roman" w:cs="Times New Roman"/>
          <w:b/>
          <w:bCs/>
          <w:sz w:val="21"/>
          <w:szCs w:val="21"/>
        </w:rPr>
        <w:t>Dotyczy projektu umowy</w:t>
      </w:r>
      <w:r w:rsidRPr="0058056C">
        <w:rPr>
          <w:rFonts w:ascii="Times New Roman" w:hAnsi="Times New Roman" w:cs="Times New Roman"/>
          <w:sz w:val="21"/>
          <w:szCs w:val="21"/>
        </w:rPr>
        <w:t>. W oparciu o obowiązujące przepisy prawne, zwracamy się z prośbą o dodanie w zapisach umowy informacji, iż w przypadku konieczności zwrotu zakupionego towaru,  Zamawiający udostępni kopię rejestru warunków przechowywania produktu w aptece ( rejestr temperatur), od dnia dostawy do dnia zwrotu towaru.</w:t>
      </w:r>
    </w:p>
    <w:p w:rsidR="008E7136" w:rsidRPr="0058056C" w:rsidRDefault="008E7136" w:rsidP="008E7136">
      <w:pPr>
        <w:ind w:left="426"/>
        <w:jc w:val="both"/>
        <w:rPr>
          <w:rFonts w:ascii="Times New Roman" w:hAnsi="Times New Roman" w:cs="Times New Roman"/>
          <w:sz w:val="21"/>
          <w:szCs w:val="21"/>
        </w:rPr>
      </w:pPr>
      <w:r w:rsidRPr="0058056C">
        <w:rPr>
          <w:rFonts w:ascii="Times New Roman" w:hAnsi="Times New Roman" w:cs="Times New Roman"/>
          <w:sz w:val="21"/>
          <w:szCs w:val="21"/>
        </w:rPr>
        <w:t>- Wytyczne UE z dnia 7 marca 2013 r.  w sprawie Dobrej Praktyki Dystrybucyjnej (</w:t>
      </w:r>
      <w:proofErr w:type="spellStart"/>
      <w:r w:rsidRPr="0058056C">
        <w:rPr>
          <w:rFonts w:ascii="Times New Roman" w:hAnsi="Times New Roman" w:cs="Times New Roman"/>
          <w:sz w:val="21"/>
          <w:szCs w:val="21"/>
        </w:rPr>
        <w:t>Dz.Urz</w:t>
      </w:r>
      <w:proofErr w:type="spellEnd"/>
      <w:r w:rsidRPr="0058056C">
        <w:rPr>
          <w:rFonts w:ascii="Times New Roman" w:hAnsi="Times New Roman" w:cs="Times New Roman"/>
          <w:sz w:val="21"/>
          <w:szCs w:val="21"/>
        </w:rPr>
        <w:t xml:space="preserve">. UE  2013/C 68/01 ) Rozdział 5 </w:t>
      </w:r>
      <w:proofErr w:type="spellStart"/>
      <w:r w:rsidRPr="0058056C">
        <w:rPr>
          <w:rFonts w:ascii="Times New Roman" w:hAnsi="Times New Roman" w:cs="Times New Roman"/>
          <w:sz w:val="21"/>
          <w:szCs w:val="21"/>
        </w:rPr>
        <w:t>pkt</w:t>
      </w:r>
      <w:proofErr w:type="spellEnd"/>
      <w:r w:rsidRPr="0058056C">
        <w:rPr>
          <w:rFonts w:ascii="Times New Roman" w:hAnsi="Times New Roman" w:cs="Times New Roman"/>
          <w:sz w:val="21"/>
          <w:szCs w:val="21"/>
        </w:rPr>
        <w:t xml:space="preserve"> 6.3 (produkty lecznicze, które opuściły pomieszczenia dystrybutora mogą powrócić do zapasów przeznaczonych do sprzedaży, tylko pod warunkiem potwierdzenia wszystkich wymienionych w Wytycznych okoliczności. Między innymi:  klient wykazał że transport produktów </w:t>
      </w:r>
    </w:p>
    <w:p w:rsidR="008E7136" w:rsidRPr="0058056C" w:rsidRDefault="008E7136" w:rsidP="008E7136">
      <w:pPr>
        <w:ind w:left="360"/>
        <w:jc w:val="both"/>
        <w:rPr>
          <w:rFonts w:ascii="Times New Roman" w:hAnsi="Times New Roman" w:cs="Times New Roman"/>
          <w:sz w:val="21"/>
          <w:szCs w:val="21"/>
        </w:rPr>
      </w:pPr>
    </w:p>
    <w:p w:rsidR="008E7136" w:rsidRPr="0058056C" w:rsidRDefault="008E7136" w:rsidP="008E7136">
      <w:pPr>
        <w:ind w:left="360"/>
        <w:jc w:val="both"/>
        <w:rPr>
          <w:rFonts w:ascii="Times New Roman" w:hAnsi="Times New Roman" w:cs="Times New Roman"/>
          <w:sz w:val="21"/>
          <w:szCs w:val="21"/>
        </w:rPr>
      </w:pPr>
    </w:p>
    <w:p w:rsidR="008E7136" w:rsidRPr="0058056C" w:rsidRDefault="008E7136" w:rsidP="008E7136">
      <w:pPr>
        <w:ind w:left="360"/>
        <w:jc w:val="both"/>
        <w:rPr>
          <w:rFonts w:ascii="Times New Roman" w:hAnsi="Times New Roman" w:cs="Times New Roman"/>
          <w:sz w:val="21"/>
          <w:szCs w:val="21"/>
        </w:rPr>
      </w:pPr>
    </w:p>
    <w:p w:rsidR="008E7136" w:rsidRPr="0058056C" w:rsidRDefault="008E7136" w:rsidP="008E7136">
      <w:pPr>
        <w:ind w:left="360"/>
        <w:jc w:val="both"/>
        <w:rPr>
          <w:rFonts w:ascii="Times New Roman" w:hAnsi="Times New Roman" w:cs="Times New Roman"/>
          <w:sz w:val="21"/>
          <w:szCs w:val="21"/>
        </w:rPr>
      </w:pPr>
    </w:p>
    <w:p w:rsidR="008E7136" w:rsidRPr="0058056C" w:rsidRDefault="008E7136" w:rsidP="008E7136">
      <w:pPr>
        <w:ind w:left="426"/>
        <w:jc w:val="both"/>
        <w:rPr>
          <w:rFonts w:ascii="Times New Roman" w:hAnsi="Times New Roman" w:cs="Times New Roman"/>
          <w:sz w:val="21"/>
          <w:szCs w:val="21"/>
        </w:rPr>
      </w:pPr>
      <w:r w:rsidRPr="0058056C">
        <w:rPr>
          <w:rFonts w:ascii="Times New Roman" w:hAnsi="Times New Roman" w:cs="Times New Roman"/>
          <w:sz w:val="21"/>
          <w:szCs w:val="21"/>
        </w:rPr>
        <w:t>leczniczych, ich przechowywanie i postępowanie z nimi odbywało się zgodnie ze specjalnymi wymogami dotyczącymi ich przechowywania)</w:t>
      </w:r>
    </w:p>
    <w:p w:rsidR="008E7136" w:rsidRPr="0058056C" w:rsidRDefault="008E7136" w:rsidP="008E7136">
      <w:pPr>
        <w:ind w:left="567" w:hanging="141"/>
        <w:jc w:val="both"/>
        <w:rPr>
          <w:rFonts w:ascii="Times New Roman" w:hAnsi="Times New Roman" w:cs="Times New Roman"/>
          <w:sz w:val="21"/>
          <w:szCs w:val="21"/>
        </w:rPr>
      </w:pPr>
      <w:r w:rsidRPr="0058056C">
        <w:rPr>
          <w:rFonts w:ascii="Times New Roman" w:hAnsi="Times New Roman" w:cs="Times New Roman"/>
          <w:sz w:val="21"/>
          <w:szCs w:val="21"/>
        </w:rPr>
        <w:t>- Rozporządzenie Ministra Zdrowia z dnia 18 października 2002 r. w sprawie podstawowych warunków prowadzenia apteki (Dz. U. z dnia 12 listopada 2002 r.) § 2. Produkty lecznicze i wyroby medyczne muszą być przechowywane w aptece w sposób gwarantujący zachowanie ustalonych dla produktu leczniczego lub wyrobu medycznego wymagań jakościowych i bezpieczeństwo przechowywania.</w:t>
      </w:r>
    </w:p>
    <w:p w:rsidR="008E7136" w:rsidRPr="0058056C" w:rsidRDefault="008E7136" w:rsidP="008E7136">
      <w:pPr>
        <w:ind w:left="567"/>
        <w:jc w:val="both"/>
        <w:rPr>
          <w:rFonts w:ascii="Times New Roman" w:hAnsi="Times New Roman" w:cs="Times New Roman"/>
          <w:sz w:val="21"/>
          <w:szCs w:val="21"/>
        </w:rPr>
      </w:pPr>
      <w:r w:rsidRPr="0058056C">
        <w:rPr>
          <w:rFonts w:ascii="Times New Roman" w:hAnsi="Times New Roman" w:cs="Times New Roman"/>
          <w:sz w:val="21"/>
          <w:szCs w:val="21"/>
        </w:rPr>
        <w:t xml:space="preserve">Rozporządzenie Ministra Zdrowia z dnia 26 lipca 2002 r. (Dz. U. 2002 nr 144 poz. 1216) w sprawie procedur Dobrej Praktyki Dystrybucyjnej (paragraf. 7 </w:t>
      </w:r>
      <w:proofErr w:type="spellStart"/>
      <w:r w:rsidRPr="0058056C">
        <w:rPr>
          <w:rFonts w:ascii="Times New Roman" w:hAnsi="Times New Roman" w:cs="Times New Roman"/>
          <w:sz w:val="21"/>
          <w:szCs w:val="21"/>
        </w:rPr>
        <w:t>pkt</w:t>
      </w:r>
      <w:proofErr w:type="spellEnd"/>
      <w:r w:rsidRPr="0058056C">
        <w:rPr>
          <w:rFonts w:ascii="Times New Roman" w:hAnsi="Times New Roman" w:cs="Times New Roman"/>
          <w:sz w:val="21"/>
          <w:szCs w:val="21"/>
        </w:rPr>
        <w:t xml:space="preserve"> 3 paragraf. 8 ust. 3 )</w:t>
      </w:r>
    </w:p>
    <w:p w:rsidR="008E7136" w:rsidRPr="0058056C" w:rsidRDefault="008E7136" w:rsidP="008E7136">
      <w:pPr>
        <w:ind w:left="567" w:hanging="141"/>
        <w:jc w:val="both"/>
        <w:rPr>
          <w:rFonts w:ascii="Times New Roman" w:hAnsi="Times New Roman" w:cs="Times New Roman"/>
          <w:sz w:val="21"/>
          <w:szCs w:val="21"/>
        </w:rPr>
      </w:pPr>
      <w:r w:rsidRPr="0058056C">
        <w:rPr>
          <w:rFonts w:ascii="Times New Roman" w:hAnsi="Times New Roman" w:cs="Times New Roman"/>
          <w:sz w:val="21"/>
          <w:szCs w:val="21"/>
        </w:rPr>
        <w:t xml:space="preserve">- Rozporządzenie Ministra Zdrowia  z dnia 1 października 2009 </w:t>
      </w:r>
      <w:proofErr w:type="spellStart"/>
      <w:r w:rsidRPr="0058056C">
        <w:rPr>
          <w:rFonts w:ascii="Times New Roman" w:hAnsi="Times New Roman" w:cs="Times New Roman"/>
          <w:sz w:val="21"/>
          <w:szCs w:val="21"/>
        </w:rPr>
        <w:t>r</w:t>
      </w:r>
      <w:proofErr w:type="spellEnd"/>
      <w:r w:rsidRPr="0058056C">
        <w:rPr>
          <w:rFonts w:ascii="Times New Roman" w:hAnsi="Times New Roman" w:cs="Times New Roman"/>
          <w:sz w:val="21"/>
          <w:szCs w:val="21"/>
        </w:rPr>
        <w:t xml:space="preserve"> w sprawie wymagań Dobrej Praktyki Wytwarzania (Część I pkt. 4.26)"</w:t>
      </w:r>
    </w:p>
    <w:p w:rsidR="008E7136" w:rsidRPr="0058056C" w:rsidRDefault="008E7136" w:rsidP="008E7136">
      <w:pPr>
        <w:jc w:val="both"/>
        <w:rPr>
          <w:rFonts w:ascii="Times New Roman" w:hAnsi="Times New Roman" w:cs="Times New Roman"/>
          <w:sz w:val="21"/>
          <w:szCs w:val="21"/>
        </w:rPr>
      </w:pPr>
      <w:r w:rsidRPr="0058056C">
        <w:rPr>
          <w:rFonts w:ascii="Times New Roman" w:hAnsi="Times New Roman" w:cs="Times New Roman"/>
          <w:sz w:val="21"/>
          <w:szCs w:val="21"/>
        </w:rPr>
        <w:t>Odpowiedź: Zamawiający informuje, że posiadając certyfikat jakości w ochronie zdrowia zwany potocznie akredytacją zobowiązany jest do monitorowania warunków temperaturowych w trakcie całego procesu przechowywania wszystkich produktów. Apteka Szpitalna posiada elektroniczny system zapisujący temperaturę we wszystkich pomieszczeniach i urządzeniach chłodniczych co 5 min. W przypadku zwrotu zakupionych produktów Zamawiający bez problemu przekazuje elektroniczny zapis temperatur.</w:t>
      </w:r>
    </w:p>
    <w:p w:rsidR="008E7136" w:rsidRPr="0058056C" w:rsidRDefault="008E7136" w:rsidP="00FF5468">
      <w:pPr>
        <w:spacing w:after="0" w:line="240" w:lineRule="auto"/>
        <w:jc w:val="both"/>
        <w:outlineLvl w:val="0"/>
        <w:rPr>
          <w:rFonts w:ascii="Times New Roman" w:hAnsi="Times New Roman" w:cs="Times New Roman"/>
          <w:sz w:val="21"/>
          <w:szCs w:val="21"/>
          <w:lang w:eastAsia="pl-PL"/>
        </w:rPr>
      </w:pPr>
    </w:p>
    <w:p w:rsidR="00EA5234" w:rsidRPr="0058056C" w:rsidRDefault="00EA5234" w:rsidP="00600273">
      <w:pPr>
        <w:spacing w:after="0" w:line="240" w:lineRule="auto"/>
        <w:rPr>
          <w:rFonts w:ascii="Times New Roman" w:hAnsi="Times New Roman" w:cs="Times New Roman"/>
          <w:color w:val="FF0000"/>
          <w:sz w:val="21"/>
          <w:szCs w:val="21"/>
        </w:rPr>
      </w:pPr>
      <w:r w:rsidRPr="0058056C">
        <w:rPr>
          <w:rFonts w:ascii="Times New Roman" w:hAnsi="Times New Roman" w:cs="Times New Roman"/>
          <w:sz w:val="21"/>
          <w:szCs w:val="21"/>
          <w:lang w:eastAsia="pl-PL"/>
        </w:rPr>
        <w:t>Wykonawcy są zobowiązani uwzględnić powyższe wyjaśnienia podczas sporządzania i składania ofert.</w:t>
      </w:r>
    </w:p>
    <w:p w:rsidR="009C37DC" w:rsidRPr="0058056C" w:rsidRDefault="009C37DC" w:rsidP="009C143D">
      <w:pPr>
        <w:spacing w:after="0" w:line="240" w:lineRule="auto"/>
        <w:jc w:val="both"/>
        <w:outlineLvl w:val="0"/>
        <w:rPr>
          <w:rFonts w:ascii="Times New Roman" w:hAnsi="Times New Roman" w:cs="Times New Roman"/>
          <w:sz w:val="21"/>
          <w:szCs w:val="21"/>
          <w:lang w:eastAsia="pl-PL"/>
        </w:rPr>
      </w:pPr>
    </w:p>
    <w:p w:rsidR="009C37DC" w:rsidRPr="0058056C" w:rsidRDefault="009C37DC" w:rsidP="00EA5234">
      <w:pPr>
        <w:spacing w:line="240" w:lineRule="auto"/>
        <w:jc w:val="both"/>
        <w:outlineLvl w:val="0"/>
        <w:rPr>
          <w:rFonts w:ascii="Times New Roman" w:hAnsi="Times New Roman" w:cs="Times New Roman"/>
          <w:sz w:val="21"/>
          <w:szCs w:val="21"/>
        </w:rPr>
      </w:pPr>
    </w:p>
    <w:p w:rsidR="00B6418A" w:rsidRDefault="00B6418A" w:rsidP="00B6418A">
      <w:pPr>
        <w:widowControl w:val="0"/>
        <w:spacing w:line="240" w:lineRule="auto"/>
        <w:ind w:left="4956" w:firstLine="708"/>
        <w:jc w:val="both"/>
        <w:outlineLvl w:val="0"/>
        <w:rPr>
          <w:rFonts w:ascii="Times New Roman" w:hAnsi="Times New Roman" w:cs="Times New Roman"/>
          <w:b/>
          <w:i/>
        </w:rPr>
      </w:pPr>
      <w:r w:rsidRPr="00883CDE">
        <w:rPr>
          <w:rFonts w:ascii="Times New Roman" w:hAnsi="Times New Roman" w:cs="Times New Roman"/>
          <w:b/>
          <w:i/>
        </w:rPr>
        <w:t>Z poważaniem</w:t>
      </w:r>
    </w:p>
    <w:p w:rsidR="00B6418A" w:rsidRDefault="00B6418A" w:rsidP="00B6418A">
      <w:pPr>
        <w:spacing w:after="0" w:line="240" w:lineRule="auto"/>
      </w:pPr>
      <w:r>
        <w:t xml:space="preserve">                                                                                                                     Marcin Sygut</w:t>
      </w:r>
    </w:p>
    <w:p w:rsidR="00B6418A" w:rsidRDefault="00B6418A" w:rsidP="00B6418A">
      <w:pPr>
        <w:spacing w:after="0" w:line="240" w:lineRule="auto"/>
      </w:pPr>
      <w:r>
        <w:tab/>
        <w:t xml:space="preserve">                                                                                                  podpis w oryginale</w:t>
      </w:r>
    </w:p>
    <w:p w:rsidR="00B6418A" w:rsidRPr="00E06B67" w:rsidRDefault="00B6418A" w:rsidP="00B6418A">
      <w:pPr>
        <w:spacing w:after="0" w:line="240" w:lineRule="auto"/>
      </w:pPr>
      <w:r>
        <w:t xml:space="preserve">                                                                                                             Dyrektor SPSK-2 PUM</w:t>
      </w:r>
    </w:p>
    <w:p w:rsidR="00B6418A" w:rsidRDefault="00B6418A" w:rsidP="00B6418A">
      <w:pPr>
        <w:widowControl w:val="0"/>
        <w:spacing w:line="240" w:lineRule="auto"/>
        <w:ind w:left="4956" w:firstLine="708"/>
        <w:jc w:val="both"/>
        <w:outlineLvl w:val="0"/>
        <w:rPr>
          <w:rFonts w:ascii="Times New Roman" w:hAnsi="Times New Roman" w:cs="Times New Roman"/>
          <w:b/>
          <w:i/>
        </w:rPr>
      </w:pPr>
    </w:p>
    <w:p w:rsidR="00EA5234" w:rsidRDefault="00EA5234" w:rsidP="00EA5234">
      <w:pPr>
        <w:spacing w:after="0" w:line="240" w:lineRule="auto"/>
        <w:rPr>
          <w:rFonts w:ascii="Times New Roman" w:hAnsi="Times New Roman" w:cs="Times New Roman"/>
          <w:sz w:val="16"/>
          <w:szCs w:val="16"/>
        </w:rPr>
      </w:pPr>
    </w:p>
    <w:p w:rsidR="00EA5234" w:rsidRDefault="00EA5234" w:rsidP="00EA5234">
      <w:pPr>
        <w:spacing w:after="0" w:line="252" w:lineRule="auto"/>
        <w:outlineLvl w:val="0"/>
      </w:pPr>
      <w:r w:rsidRPr="009B7F15">
        <w:rPr>
          <w:b/>
        </w:rPr>
        <w:t>Sprawę prowadzi:</w:t>
      </w:r>
      <w:r>
        <w:tab/>
        <w:t>WiolettaSybal</w:t>
      </w:r>
    </w:p>
    <w:p w:rsidR="00EA5234" w:rsidRPr="00EA5234" w:rsidRDefault="00EA5234" w:rsidP="00857144">
      <w:pPr>
        <w:spacing w:after="0" w:line="240" w:lineRule="auto"/>
        <w:rPr>
          <w:rFonts w:ascii="Times New Roman" w:hAnsi="Times New Roman" w:cs="Times New Roman"/>
        </w:rPr>
        <w:sectPr w:rsidR="00EA5234" w:rsidRPr="00EA5234" w:rsidSect="009C37DC">
          <w:footerReference w:type="default" r:id="rId8"/>
          <w:headerReference w:type="first" r:id="rId9"/>
          <w:footerReference w:type="first" r:id="rId10"/>
          <w:type w:val="continuous"/>
          <w:pgSz w:w="11906" w:h="16838" w:code="9"/>
          <w:pgMar w:top="2410" w:right="851" w:bottom="993" w:left="851" w:header="567" w:footer="454" w:gutter="0"/>
          <w:cols w:space="708"/>
          <w:titlePg/>
          <w:docGrid w:linePitch="360"/>
        </w:sectPr>
      </w:pPr>
      <w:r w:rsidRPr="008C62B0">
        <w:rPr>
          <w:b/>
        </w:rPr>
        <w:t xml:space="preserve">Telefon                             </w:t>
      </w:r>
      <w:r w:rsidRPr="008C62B0">
        <w:t>+48 </w:t>
      </w:r>
      <w:r w:rsidR="00600273">
        <w:t>91 46</w:t>
      </w:r>
      <w:r w:rsidR="0041715F">
        <w:t xml:space="preserve"> 10 86</w:t>
      </w:r>
    </w:p>
    <w:bookmarkEnd w:id="1"/>
    <w:p w:rsidR="009140D2" w:rsidRPr="008C62B0" w:rsidRDefault="009140D2" w:rsidP="00600273">
      <w:pPr>
        <w:spacing w:after="0" w:line="252" w:lineRule="auto"/>
      </w:pPr>
    </w:p>
    <w:sectPr w:rsidR="009140D2" w:rsidRPr="008C62B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EA2" w:rsidRDefault="00C26EA2" w:rsidP="00C04A67">
      <w:pPr>
        <w:spacing w:after="0" w:line="240" w:lineRule="auto"/>
      </w:pPr>
      <w:r>
        <w:separator/>
      </w:r>
    </w:p>
  </w:endnote>
  <w:endnote w:type="continuationSeparator" w:id="1">
    <w:p w:rsidR="00C26EA2" w:rsidRDefault="00C26EA2"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Default="00424B3A" w:rsidP="00857144">
    <w:pPr>
      <w:pStyle w:val="Stopka"/>
      <w:jc w:val="right"/>
      <w:rPr>
        <w:b/>
        <w:bCs/>
      </w:rPr>
    </w:pPr>
  </w:p>
  <w:p w:rsidR="00424B3A" w:rsidRPr="00E90D2C" w:rsidRDefault="00424B3A" w:rsidP="00EB1B0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424B3A" w:rsidRPr="00E90D2C" w:rsidRDefault="003377F8" w:rsidP="00EB1B05">
    <w:pPr>
      <w:pStyle w:val="Stopka"/>
      <w:jc w:val="center"/>
      <w:rPr>
        <w:rFonts w:ascii="Times New Roman" w:hAnsi="Times New Roman" w:cs="Times New Roman"/>
        <w:b/>
        <w:sz w:val="20"/>
        <w:szCs w:val="20"/>
      </w:rPr>
    </w:pPr>
    <w:hyperlink r:id="rId1" w:history="1">
      <w:r w:rsidR="00424B3A" w:rsidRPr="00E90D2C">
        <w:rPr>
          <w:rFonts w:ascii="Times New Roman" w:hAnsi="Times New Roman" w:cs="Times New Roman"/>
          <w:b/>
          <w:bCs/>
          <w:sz w:val="20"/>
          <w:szCs w:val="20"/>
        </w:rPr>
        <w:t>www.spsk2-szczecin.pl</w:t>
      </w:r>
    </w:hyperlink>
  </w:p>
  <w:p w:rsidR="00424B3A" w:rsidRPr="006E69D8" w:rsidRDefault="003377F8" w:rsidP="00857144">
    <w:pPr>
      <w:pStyle w:val="Stopka"/>
      <w:jc w:val="right"/>
    </w:pPr>
    <w:r w:rsidRPr="006E69D8">
      <w:rPr>
        <w:b/>
        <w:bCs/>
      </w:rPr>
      <w:fldChar w:fldCharType="begin"/>
    </w:r>
    <w:r w:rsidR="00424B3A" w:rsidRPr="006E69D8">
      <w:rPr>
        <w:b/>
        <w:bCs/>
      </w:rPr>
      <w:instrText>PAGE  \* Arabic  \* MERGEFORMAT</w:instrText>
    </w:r>
    <w:r w:rsidRPr="006E69D8">
      <w:rPr>
        <w:b/>
        <w:bCs/>
      </w:rPr>
      <w:fldChar w:fldCharType="separate"/>
    </w:r>
    <w:r w:rsidR="00B6418A">
      <w:rPr>
        <w:b/>
        <w:bCs/>
        <w:noProof/>
      </w:rPr>
      <w:t>5</w:t>
    </w:r>
    <w:r w:rsidRPr="006E69D8">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Default="00424B3A" w:rsidP="00CA5EC3">
    <w:pPr>
      <w:pStyle w:val="Stopka"/>
      <w:tabs>
        <w:tab w:val="clear" w:pos="4536"/>
        <w:tab w:val="clear" w:pos="9072"/>
        <w:tab w:val="left" w:pos="1800"/>
        <w:tab w:val="left" w:pos="1830"/>
        <w:tab w:val="left" w:pos="1875"/>
      </w:tabs>
    </w:pPr>
    <w:r>
      <w:rPr>
        <w:noProof/>
        <w:sz w:val="18"/>
        <w:lang w:eastAsia="pl-PL"/>
      </w:rPr>
      <w:drawing>
        <wp:anchor distT="0" distB="0" distL="114300" distR="114300" simplePos="0" relativeHeight="2516126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11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5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3377F8">
      <w:rPr>
        <w:noProof/>
        <w:lang w:eastAsia="pl-PL"/>
      </w:rPr>
      <w:pict>
        <v:shape id="Prostokąt: zaokrąglone rogi u góry 21" o:spid="_x0000_s4099" style="position:absolute;margin-left:0;margin-top:.45pt;width:8.5pt;height:342.55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SHHA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ARzQSHHAMAAJs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3377F8">
      <w:rPr>
        <w:noProof/>
        <w:lang w:eastAsia="pl-PL"/>
      </w:rPr>
      <w:pict>
        <v:shape id="Prostokąt: zaokrąglone rogi u góry 14" o:spid="_x0000_s4098" style="position:absolute;margin-left:0;margin-top:-.05pt;width:16.85pt;height:897.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3377F8">
      <w:rPr>
        <w:noProof/>
        <w:lang w:eastAsia="pl-PL"/>
      </w:rPr>
      <w:pict>
        <v:shapetype id="_x0000_t202" coordsize="21600,21600" o:spt="202" path="m,l,21600r21600,l21600,xe">
          <v:stroke joinstyle="miter"/>
          <v:path gradientshapeok="t" o:connecttype="rect"/>
        </v:shapetype>
        <v:shape id="_x0000_s4097" type="#_x0000_t202" style="position:absolute;margin-left:.05pt;margin-top:753.1pt;width:345.75pt;height:58.75pt;z-index:25176934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24B3A" w:rsidRDefault="00424B3A" w:rsidP="00857144">
                <w:pPr>
                  <w:spacing w:after="0" w:line="233" w:lineRule="auto"/>
                  <w:rPr>
                    <w:sz w:val="18"/>
                  </w:rPr>
                </w:pPr>
                <w:r>
                  <w:rPr>
                    <w:b/>
                    <w:sz w:val="18"/>
                  </w:rPr>
                  <w:t>Centrala: T:</w:t>
                </w:r>
                <w:r w:rsidRPr="001B5AD0">
                  <w:rPr>
                    <w:sz w:val="18"/>
                  </w:rPr>
                  <w:t>+48 91 466 10 00</w:t>
                </w:r>
              </w:p>
              <w:p w:rsidR="00424B3A" w:rsidRDefault="00424B3A"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24B3A" w:rsidRDefault="00424B3A"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24B3A" w:rsidRDefault="00424B3A" w:rsidP="00857144">
                <w:pPr>
                  <w:spacing w:after="0" w:line="233" w:lineRule="auto"/>
                  <w:rPr>
                    <w:sz w:val="18"/>
                  </w:rPr>
                </w:pPr>
              </w:p>
              <w:p w:rsidR="00424B3A" w:rsidRPr="001B5AD0" w:rsidRDefault="00424B3A"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24B3A" w:rsidRPr="00864A3E" w:rsidRDefault="00424B3A" w:rsidP="00857144">
                <w:pPr>
                  <w:spacing w:after="0" w:line="233" w:lineRule="auto"/>
                </w:pPr>
              </w:p>
            </w:txbxContent>
          </v:textbox>
          <w10:wrap anchory="page"/>
          <w10:anchorlock/>
        </v:shape>
      </w:pict>
    </w:r>
    <w:r>
      <w:tab/>
    </w:r>
    <w:r w:rsidR="00CA5EC3">
      <w:tab/>
    </w:r>
    <w:r>
      <w:tab/>
    </w:r>
    <w:r w:rsidRPr="00B64545">
      <w:rPr>
        <w:noProof/>
        <w:lang w:eastAsia="pl-PL"/>
      </w:rPr>
      <w:drawing>
        <wp:inline distT="0" distB="0" distL="0" distR="0">
          <wp:extent cx="781050" cy="809625"/>
          <wp:effectExtent l="0" t="0" r="0" b="0"/>
          <wp:docPr id="55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24B3A" w:rsidRDefault="00424B3A"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Pr="00E90D2C" w:rsidRDefault="00424B3A"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424B3A" w:rsidRPr="00E90D2C" w:rsidRDefault="003377F8" w:rsidP="00E90D2C">
    <w:pPr>
      <w:pStyle w:val="Stopka"/>
      <w:jc w:val="center"/>
      <w:rPr>
        <w:rFonts w:ascii="Times New Roman" w:hAnsi="Times New Roman" w:cs="Times New Roman"/>
        <w:b/>
        <w:sz w:val="20"/>
        <w:szCs w:val="20"/>
      </w:rPr>
    </w:pPr>
    <w:hyperlink r:id="rId1" w:history="1">
      <w:r w:rsidR="00424B3A"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EA2" w:rsidRDefault="00C26EA2" w:rsidP="00C04A67">
      <w:pPr>
        <w:spacing w:after="0" w:line="240" w:lineRule="auto"/>
      </w:pPr>
      <w:r>
        <w:separator/>
      </w:r>
    </w:p>
  </w:footnote>
  <w:footnote w:type="continuationSeparator" w:id="1">
    <w:p w:rsidR="00C26EA2" w:rsidRDefault="00C26EA2"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Pr="00B20EBC" w:rsidRDefault="00424B3A" w:rsidP="00857144">
    <w:pPr>
      <w:pStyle w:val="Nagwek"/>
      <w:ind w:firstLine="7314"/>
      <w:rPr>
        <w:rFonts w:cstheme="minorHAnsi"/>
      </w:rPr>
    </w:pPr>
    <w:r>
      <w:rPr>
        <w:rFonts w:cstheme="minorHAnsi"/>
        <w:noProof/>
        <w:lang w:eastAsia="pl-PL"/>
      </w:rPr>
      <w:drawing>
        <wp:anchor distT="0" distB="0" distL="114300" distR="114300" simplePos="0" relativeHeight="251610624" behindDoc="1" locked="0" layoutInCell="1" allowOverlap="1">
          <wp:simplePos x="0" y="0"/>
          <wp:positionH relativeFrom="page">
            <wp:align>left</wp:align>
          </wp:positionH>
          <wp:positionV relativeFrom="page">
            <wp:align>top</wp:align>
          </wp:positionV>
          <wp:extent cx="2847600" cy="1440000"/>
          <wp:effectExtent l="0" t="0" r="0" b="8255"/>
          <wp:wrapNone/>
          <wp:docPr id="55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3377F8">
      <w:rPr>
        <w:rFonts w:cstheme="minorHAnsi"/>
        <w:noProof/>
        <w:lang w:eastAsia="pl-PL"/>
      </w:rPr>
      <w:pict>
        <v:shape id="Prostokąt: zaokrąglone rogi u góry 33" o:spid="_x0000_s4101" style="position:absolute;left:0;text-align:left;margin-left:434.25pt;margin-top:-20.45pt;width:8.5pt;height:143.3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3377F8" w:rsidRPr="003377F8">
      <w:rPr>
        <w:noProof/>
        <w:lang w:eastAsia="pl-PL"/>
      </w:rPr>
      <w:pict>
        <v:shapetype id="_x0000_t202" coordsize="21600,21600" o:spt="202" path="m,l,21600r21600,l21600,xe">
          <v:stroke joinstyle="miter"/>
          <v:path gradientshapeok="t" o:connecttype="rect"/>
        </v:shapetype>
        <v:shape id="Pole tekstowe 2" o:spid="_x0000_s4100" type="#_x0000_t202" style="position:absolute;left:0;text-align:left;margin-left:0;margin-top:43.6pt;width:277.8pt;height:40.55pt;z-index:-25154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BavlSIBQIAAOgDAAAOAAAA&#10;AAAAAAAAAAAAAC4CAABkcnMvZTJvRG9jLnhtbFBLAQItABQABgAIAAAAIQBEV8WN3QAAAAcBAAAP&#10;AAAAAAAAAAAAAAAAAF8EAABkcnMvZG93bnJldi54bWxQSwUGAAAAAAQABADzAAAAaQUAAAAA&#10;" filled="f" stroked="f">
          <v:textbox inset="0,0,0,0">
            <w:txbxContent>
              <w:p w:rsidR="00424B3A" w:rsidRDefault="00424B3A" w:rsidP="00857144">
                <w:pPr>
                  <w:spacing w:after="0" w:line="252" w:lineRule="auto"/>
                  <w:rPr>
                    <w:b/>
                  </w:rPr>
                </w:pPr>
              </w:p>
              <w:p w:rsidR="00424B3A" w:rsidRPr="001B5AD0" w:rsidRDefault="00424B3A" w:rsidP="00857144">
                <w:pPr>
                  <w:spacing w:after="0" w:line="252" w:lineRule="auto"/>
                  <w:rPr>
                    <w:b/>
                  </w:rPr>
                </w:pPr>
                <w:r w:rsidRPr="001B5AD0">
                  <w:rPr>
                    <w:b/>
                  </w:rPr>
                  <w:t xml:space="preserve">al. Powstańców Wielkopolskich 72 </w:t>
                </w:r>
              </w:p>
              <w:p w:rsidR="00424B3A" w:rsidRPr="004273D8" w:rsidRDefault="00424B3A" w:rsidP="00857144">
                <w:pPr>
                  <w:spacing w:after="0" w:line="252" w:lineRule="auto"/>
                  <w:rPr>
                    <w:b/>
                  </w:rPr>
                </w:pPr>
                <w:r w:rsidRPr="001B5AD0">
                  <w:rPr>
                    <w:b/>
                  </w:rPr>
                  <w:t>70-111 Szczecin</w:t>
                </w:r>
              </w:p>
            </w:txbxContent>
          </v:textbox>
        </v:shape>
      </w:pict>
    </w:r>
    <w:r>
      <w:rPr>
        <w:rFonts w:cstheme="minorHAnsi"/>
      </w:rPr>
      <w:t xml:space="preserve">Szczecin, </w:t>
    </w:r>
    <w:r w:rsidR="00FF5468">
      <w:rPr>
        <w:rFonts w:cstheme="minorHAnsi"/>
      </w:rPr>
      <w:t xml:space="preserve"> </w:t>
    </w:r>
    <w:r w:rsidR="000F743B">
      <w:rPr>
        <w:rFonts w:cstheme="minorHAnsi"/>
      </w:rPr>
      <w:t>19</w:t>
    </w:r>
    <w:r>
      <w:rPr>
        <w:rFonts w:cstheme="minorHAnsi"/>
      </w:rPr>
      <w:t>.0</w:t>
    </w:r>
    <w:r w:rsidR="00FF5468">
      <w:rPr>
        <w:rFonts w:cstheme="minorHAnsi"/>
      </w:rPr>
      <w:t>6</w:t>
    </w:r>
    <w:r>
      <w:rPr>
        <w:rFonts w:cstheme="minorHAnsi"/>
      </w:rPr>
      <w:t>.2020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Pr="008116CD" w:rsidRDefault="00424B3A"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071A0"/>
    <w:multiLevelType w:val="hybridMultilevel"/>
    <w:tmpl w:val="6D66492E"/>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
    <w:nsid w:val="15D8377E"/>
    <w:multiLevelType w:val="hybridMultilevel"/>
    <w:tmpl w:val="A240F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E625D3"/>
    <w:multiLevelType w:val="hybridMultilevel"/>
    <w:tmpl w:val="5010F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6767BA"/>
    <w:multiLevelType w:val="hybridMultilevel"/>
    <w:tmpl w:val="37588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150B25"/>
    <w:multiLevelType w:val="hybridMultilevel"/>
    <w:tmpl w:val="FE7C8BC0"/>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0"/>
  </w:num>
  <w:num w:numId="4">
    <w:abstractNumId w:val="5"/>
  </w:num>
  <w:num w:numId="5">
    <w:abstractNumId w:val="1"/>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0"/>
    <w:footnote w:id="1"/>
  </w:footnotePr>
  <w:endnotePr>
    <w:endnote w:id="0"/>
    <w:endnote w:id="1"/>
  </w:endnotePr>
  <w:compat/>
  <w:rsids>
    <w:rsidRoot w:val="008007C8"/>
    <w:rsid w:val="00001DEC"/>
    <w:rsid w:val="00006AE0"/>
    <w:rsid w:val="000245C6"/>
    <w:rsid w:val="000327AE"/>
    <w:rsid w:val="00035024"/>
    <w:rsid w:val="000363C6"/>
    <w:rsid w:val="00046034"/>
    <w:rsid w:val="00064B05"/>
    <w:rsid w:val="00064D2A"/>
    <w:rsid w:val="00091B8F"/>
    <w:rsid w:val="00093E43"/>
    <w:rsid w:val="000A6534"/>
    <w:rsid w:val="000C336D"/>
    <w:rsid w:val="000D6D6F"/>
    <w:rsid w:val="000E22BA"/>
    <w:rsid w:val="000F2195"/>
    <w:rsid w:val="000F743B"/>
    <w:rsid w:val="00102C24"/>
    <w:rsid w:val="001076BC"/>
    <w:rsid w:val="001365B1"/>
    <w:rsid w:val="00154CEA"/>
    <w:rsid w:val="00162E3C"/>
    <w:rsid w:val="00166081"/>
    <w:rsid w:val="00180ABA"/>
    <w:rsid w:val="00192958"/>
    <w:rsid w:val="00192C8E"/>
    <w:rsid w:val="001A234D"/>
    <w:rsid w:val="001A7798"/>
    <w:rsid w:val="001B722E"/>
    <w:rsid w:val="001D0CC1"/>
    <w:rsid w:val="001E4D6B"/>
    <w:rsid w:val="00206C48"/>
    <w:rsid w:val="00213E32"/>
    <w:rsid w:val="002231A8"/>
    <w:rsid w:val="002239E6"/>
    <w:rsid w:val="002240FC"/>
    <w:rsid w:val="00232737"/>
    <w:rsid w:val="00243CC9"/>
    <w:rsid w:val="0026160B"/>
    <w:rsid w:val="00263F05"/>
    <w:rsid w:val="00264244"/>
    <w:rsid w:val="00270C17"/>
    <w:rsid w:val="002846C1"/>
    <w:rsid w:val="002873D5"/>
    <w:rsid w:val="002F6D75"/>
    <w:rsid w:val="0032189F"/>
    <w:rsid w:val="00323610"/>
    <w:rsid w:val="003248EB"/>
    <w:rsid w:val="00335B57"/>
    <w:rsid w:val="0033641B"/>
    <w:rsid w:val="003377F8"/>
    <w:rsid w:val="00355274"/>
    <w:rsid w:val="00372B5A"/>
    <w:rsid w:val="00373A69"/>
    <w:rsid w:val="003A36EE"/>
    <w:rsid w:val="003B2AE0"/>
    <w:rsid w:val="003C4514"/>
    <w:rsid w:val="003C48E3"/>
    <w:rsid w:val="003C5AAC"/>
    <w:rsid w:val="003E6E64"/>
    <w:rsid w:val="00401E02"/>
    <w:rsid w:val="00415C98"/>
    <w:rsid w:val="0041715F"/>
    <w:rsid w:val="00417AFA"/>
    <w:rsid w:val="00417E46"/>
    <w:rsid w:val="004215EC"/>
    <w:rsid w:val="004247BF"/>
    <w:rsid w:val="00424B3A"/>
    <w:rsid w:val="00425BD9"/>
    <w:rsid w:val="00440B22"/>
    <w:rsid w:val="004412FF"/>
    <w:rsid w:val="0045168E"/>
    <w:rsid w:val="00455533"/>
    <w:rsid w:val="00461014"/>
    <w:rsid w:val="0046299A"/>
    <w:rsid w:val="00463443"/>
    <w:rsid w:val="004730D2"/>
    <w:rsid w:val="004806F2"/>
    <w:rsid w:val="00482F82"/>
    <w:rsid w:val="004833EC"/>
    <w:rsid w:val="00483D4B"/>
    <w:rsid w:val="00485365"/>
    <w:rsid w:val="004A38A5"/>
    <w:rsid w:val="004A5419"/>
    <w:rsid w:val="004E2D2E"/>
    <w:rsid w:val="004F0172"/>
    <w:rsid w:val="004F4C31"/>
    <w:rsid w:val="004F4F13"/>
    <w:rsid w:val="004F689F"/>
    <w:rsid w:val="00505E9E"/>
    <w:rsid w:val="00507A0A"/>
    <w:rsid w:val="00507D9D"/>
    <w:rsid w:val="00513217"/>
    <w:rsid w:val="0051425B"/>
    <w:rsid w:val="00516F8A"/>
    <w:rsid w:val="005431B2"/>
    <w:rsid w:val="005520EF"/>
    <w:rsid w:val="00552E40"/>
    <w:rsid w:val="00573538"/>
    <w:rsid w:val="0058056C"/>
    <w:rsid w:val="00592E9E"/>
    <w:rsid w:val="00593AFF"/>
    <w:rsid w:val="005A1BC2"/>
    <w:rsid w:val="005A46DB"/>
    <w:rsid w:val="005D2A91"/>
    <w:rsid w:val="005D3EFB"/>
    <w:rsid w:val="005E51A2"/>
    <w:rsid w:val="005E7B82"/>
    <w:rsid w:val="00600273"/>
    <w:rsid w:val="006073BC"/>
    <w:rsid w:val="0060785D"/>
    <w:rsid w:val="006219D3"/>
    <w:rsid w:val="00624A15"/>
    <w:rsid w:val="00631A86"/>
    <w:rsid w:val="00635BEE"/>
    <w:rsid w:val="00646983"/>
    <w:rsid w:val="00654F83"/>
    <w:rsid w:val="00655D28"/>
    <w:rsid w:val="0065725D"/>
    <w:rsid w:val="0066474C"/>
    <w:rsid w:val="0067202F"/>
    <w:rsid w:val="00682968"/>
    <w:rsid w:val="0069570F"/>
    <w:rsid w:val="006A560D"/>
    <w:rsid w:val="006C009C"/>
    <w:rsid w:val="006D0D5D"/>
    <w:rsid w:val="006D2405"/>
    <w:rsid w:val="006E1440"/>
    <w:rsid w:val="006E3E38"/>
    <w:rsid w:val="006E43E3"/>
    <w:rsid w:val="006F4C9A"/>
    <w:rsid w:val="00703DEA"/>
    <w:rsid w:val="0072429A"/>
    <w:rsid w:val="00733EEA"/>
    <w:rsid w:val="007434F3"/>
    <w:rsid w:val="00743AEF"/>
    <w:rsid w:val="007B3917"/>
    <w:rsid w:val="007D22E8"/>
    <w:rsid w:val="007E71EC"/>
    <w:rsid w:val="007E722E"/>
    <w:rsid w:val="007F06D7"/>
    <w:rsid w:val="007F57ED"/>
    <w:rsid w:val="008007C8"/>
    <w:rsid w:val="008116CD"/>
    <w:rsid w:val="00811C46"/>
    <w:rsid w:val="00816FAD"/>
    <w:rsid w:val="00821F36"/>
    <w:rsid w:val="008314CE"/>
    <w:rsid w:val="00833C1F"/>
    <w:rsid w:val="00840D39"/>
    <w:rsid w:val="00857144"/>
    <w:rsid w:val="00873387"/>
    <w:rsid w:val="008A04F1"/>
    <w:rsid w:val="008A27FC"/>
    <w:rsid w:val="008A6365"/>
    <w:rsid w:val="008C493D"/>
    <w:rsid w:val="008C6762"/>
    <w:rsid w:val="008D0717"/>
    <w:rsid w:val="008D0A32"/>
    <w:rsid w:val="008D65A2"/>
    <w:rsid w:val="008D6EC0"/>
    <w:rsid w:val="008E7136"/>
    <w:rsid w:val="008F1276"/>
    <w:rsid w:val="009140D2"/>
    <w:rsid w:val="0093246E"/>
    <w:rsid w:val="009373DB"/>
    <w:rsid w:val="00955C56"/>
    <w:rsid w:val="009644E8"/>
    <w:rsid w:val="00967F60"/>
    <w:rsid w:val="00974A37"/>
    <w:rsid w:val="00975881"/>
    <w:rsid w:val="009779E5"/>
    <w:rsid w:val="0098138F"/>
    <w:rsid w:val="00981408"/>
    <w:rsid w:val="00981FAE"/>
    <w:rsid w:val="009906DB"/>
    <w:rsid w:val="00994562"/>
    <w:rsid w:val="00996374"/>
    <w:rsid w:val="009A0361"/>
    <w:rsid w:val="009A7F29"/>
    <w:rsid w:val="009B1E73"/>
    <w:rsid w:val="009B79CC"/>
    <w:rsid w:val="009C0F9D"/>
    <w:rsid w:val="009C143D"/>
    <w:rsid w:val="009C2D91"/>
    <w:rsid w:val="009C37DC"/>
    <w:rsid w:val="009D2CDE"/>
    <w:rsid w:val="009D43B7"/>
    <w:rsid w:val="00A009DE"/>
    <w:rsid w:val="00A0594F"/>
    <w:rsid w:val="00A118BD"/>
    <w:rsid w:val="00A31907"/>
    <w:rsid w:val="00A37A8E"/>
    <w:rsid w:val="00A9226D"/>
    <w:rsid w:val="00A97514"/>
    <w:rsid w:val="00A97A87"/>
    <w:rsid w:val="00AB662F"/>
    <w:rsid w:val="00AC3A5B"/>
    <w:rsid w:val="00AF2E1E"/>
    <w:rsid w:val="00B10B92"/>
    <w:rsid w:val="00B11CFF"/>
    <w:rsid w:val="00B23AD4"/>
    <w:rsid w:val="00B47E1F"/>
    <w:rsid w:val="00B5294A"/>
    <w:rsid w:val="00B535F1"/>
    <w:rsid w:val="00B6298C"/>
    <w:rsid w:val="00B6418A"/>
    <w:rsid w:val="00B65AE6"/>
    <w:rsid w:val="00B72DDB"/>
    <w:rsid w:val="00B77244"/>
    <w:rsid w:val="00B82C45"/>
    <w:rsid w:val="00B84C11"/>
    <w:rsid w:val="00BC2DD2"/>
    <w:rsid w:val="00BD1059"/>
    <w:rsid w:val="00BD1F22"/>
    <w:rsid w:val="00BD7F2B"/>
    <w:rsid w:val="00BE1E70"/>
    <w:rsid w:val="00BE6763"/>
    <w:rsid w:val="00BF1D9D"/>
    <w:rsid w:val="00C04A67"/>
    <w:rsid w:val="00C050F3"/>
    <w:rsid w:val="00C26EA2"/>
    <w:rsid w:val="00C51357"/>
    <w:rsid w:val="00C5544D"/>
    <w:rsid w:val="00C6301B"/>
    <w:rsid w:val="00C63FFA"/>
    <w:rsid w:val="00C66F34"/>
    <w:rsid w:val="00C74141"/>
    <w:rsid w:val="00C74742"/>
    <w:rsid w:val="00C761CE"/>
    <w:rsid w:val="00C77B61"/>
    <w:rsid w:val="00C77C3C"/>
    <w:rsid w:val="00C833CD"/>
    <w:rsid w:val="00C83BFC"/>
    <w:rsid w:val="00C92A79"/>
    <w:rsid w:val="00CA03E3"/>
    <w:rsid w:val="00CA5EC3"/>
    <w:rsid w:val="00CB4DEF"/>
    <w:rsid w:val="00CC3429"/>
    <w:rsid w:val="00CC48FD"/>
    <w:rsid w:val="00CC79F1"/>
    <w:rsid w:val="00CF64CD"/>
    <w:rsid w:val="00D0577B"/>
    <w:rsid w:val="00D110A8"/>
    <w:rsid w:val="00D16659"/>
    <w:rsid w:val="00D30A80"/>
    <w:rsid w:val="00D667F0"/>
    <w:rsid w:val="00D861B1"/>
    <w:rsid w:val="00D87963"/>
    <w:rsid w:val="00D902CA"/>
    <w:rsid w:val="00D9248F"/>
    <w:rsid w:val="00D9417F"/>
    <w:rsid w:val="00DA3CBB"/>
    <w:rsid w:val="00DA51AE"/>
    <w:rsid w:val="00DC20F1"/>
    <w:rsid w:val="00DD49B3"/>
    <w:rsid w:val="00DE360F"/>
    <w:rsid w:val="00DF21B5"/>
    <w:rsid w:val="00E02BE9"/>
    <w:rsid w:val="00E118FE"/>
    <w:rsid w:val="00E47368"/>
    <w:rsid w:val="00E66C3F"/>
    <w:rsid w:val="00E77FF7"/>
    <w:rsid w:val="00E8195A"/>
    <w:rsid w:val="00E90D2C"/>
    <w:rsid w:val="00EA5234"/>
    <w:rsid w:val="00EA66E9"/>
    <w:rsid w:val="00EA7CF5"/>
    <w:rsid w:val="00EB1B05"/>
    <w:rsid w:val="00EC0943"/>
    <w:rsid w:val="00EF2C94"/>
    <w:rsid w:val="00F15873"/>
    <w:rsid w:val="00F22A01"/>
    <w:rsid w:val="00F42D0A"/>
    <w:rsid w:val="00F54FBE"/>
    <w:rsid w:val="00F65A63"/>
    <w:rsid w:val="00F65EA3"/>
    <w:rsid w:val="00F75B65"/>
    <w:rsid w:val="00F8229D"/>
    <w:rsid w:val="00F82A3F"/>
    <w:rsid w:val="00FD14FC"/>
    <w:rsid w:val="00FF5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FF5468"/>
    <w:pPr>
      <w:spacing w:after="120"/>
    </w:pPr>
  </w:style>
  <w:style w:type="character" w:customStyle="1" w:styleId="TekstpodstawowyZnak">
    <w:name w:val="Tekst podstawowy Znak"/>
    <w:basedOn w:val="Domylnaczcionkaakapitu"/>
    <w:link w:val="Tekstpodstawowy"/>
    <w:uiPriority w:val="99"/>
    <w:semiHidden/>
    <w:rsid w:val="00FF5468"/>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9246-32C0-4E9E-B202-8D58685C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2303</Words>
  <Characters>13821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15</cp:revision>
  <cp:lastPrinted>2020-06-19T12:40:00Z</cp:lastPrinted>
  <dcterms:created xsi:type="dcterms:W3CDTF">2020-06-19T07:02:00Z</dcterms:created>
  <dcterms:modified xsi:type="dcterms:W3CDTF">2020-06-19T12:40:00Z</dcterms:modified>
</cp:coreProperties>
</file>