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1B7422" w:rsidRPr="001B7422" w:rsidRDefault="001B0D4A" w:rsidP="001B7422">
      <w:pPr>
        <w:numPr>
          <w:ilvl w:val="0"/>
          <w:numId w:val="13"/>
        </w:numPr>
        <w:jc w:val="both"/>
        <w:rPr>
          <w:rFonts w:ascii="Tahoma" w:hAnsi="Tahoma" w:cs="Tahoma"/>
        </w:rPr>
      </w:pPr>
      <w:r w:rsidRPr="001B7422">
        <w:rPr>
          <w:rFonts w:ascii="Tahoma" w:hAnsi="Tahoma" w:cs="Tahoma"/>
        </w:rPr>
        <w:t xml:space="preserve">Przedmiotem niniejszej umowy jest </w:t>
      </w:r>
      <w:r w:rsidR="00767A53" w:rsidRPr="001B7422">
        <w:rPr>
          <w:rFonts w:ascii="Tahoma" w:hAnsi="Tahoma" w:cs="Tahoma"/>
          <w:b/>
          <w:bCs/>
        </w:rPr>
        <w:t>b</w:t>
      </w:r>
      <w:r w:rsidR="00577BB7" w:rsidRPr="001B7422">
        <w:rPr>
          <w:rFonts w:ascii="Tahoma" w:hAnsi="Tahoma" w:cs="Tahoma"/>
          <w:b/>
          <w:bCs/>
        </w:rPr>
        <w:t>udowa</w:t>
      </w:r>
      <w:r w:rsidR="003B0D7A" w:rsidRPr="001B7422">
        <w:rPr>
          <w:rFonts w:ascii="Tahoma" w:hAnsi="Tahoma" w:cs="Tahoma"/>
          <w:b/>
          <w:bCs/>
        </w:rPr>
        <w:t xml:space="preserve"> sieci wod</w:t>
      </w:r>
      <w:r w:rsidR="00402AD3" w:rsidRPr="001B7422">
        <w:rPr>
          <w:rFonts w:ascii="Tahoma" w:hAnsi="Tahoma" w:cs="Tahoma"/>
          <w:b/>
          <w:bCs/>
        </w:rPr>
        <w:t>ociągowej w</w:t>
      </w:r>
      <w:r w:rsidR="003B0D7A" w:rsidRPr="001B7422">
        <w:rPr>
          <w:rFonts w:ascii="Tahoma" w:hAnsi="Tahoma" w:cs="Tahoma"/>
          <w:b/>
        </w:rPr>
        <w:t xml:space="preserve"> ul. </w:t>
      </w:r>
      <w:r w:rsidR="00402AD3" w:rsidRPr="001B7422">
        <w:rPr>
          <w:rFonts w:ascii="Tahoma" w:hAnsi="Tahoma" w:cs="Tahoma"/>
          <w:b/>
        </w:rPr>
        <w:t xml:space="preserve">Ukośnej </w:t>
      </w:r>
      <w:r w:rsidR="003B0D7A" w:rsidRPr="001B7422">
        <w:rPr>
          <w:rFonts w:ascii="Tahoma" w:hAnsi="Tahoma" w:cs="Tahoma"/>
          <w:b/>
        </w:rPr>
        <w:t xml:space="preserve">w Toruniu </w:t>
      </w:r>
      <w:r w:rsidR="001B7422" w:rsidRPr="001B7422">
        <w:rPr>
          <w:rFonts w:ascii="Tahoma" w:hAnsi="Tahoma" w:cs="Tahoma"/>
        </w:rPr>
        <w:t>(DN 150-160 o łącznej długości L=358,83 m</w:t>
      </w:r>
      <w:r w:rsidR="001B7422" w:rsidRPr="001B7422">
        <w:rPr>
          <w:rFonts w:ascii="Tahoma" w:hAnsi="Tahoma" w:cs="Tahoma"/>
          <w:color w:val="000000"/>
        </w:rPr>
        <w:t>).</w:t>
      </w:r>
    </w:p>
    <w:p w:rsidR="00D34A48" w:rsidRPr="001B7422" w:rsidRDefault="00D34A48" w:rsidP="00D34A48">
      <w:pPr>
        <w:numPr>
          <w:ilvl w:val="0"/>
          <w:numId w:val="13"/>
        </w:numPr>
        <w:jc w:val="both"/>
        <w:rPr>
          <w:rFonts w:ascii="Tahoma" w:hAnsi="Tahoma" w:cs="Tahoma"/>
        </w:rPr>
      </w:pPr>
      <w:r w:rsidRPr="001B7422">
        <w:rPr>
          <w:rFonts w:ascii="Tahoma" w:hAnsi="Tahoma" w:cs="Tahoma"/>
        </w:rPr>
        <w:t xml:space="preserve">Szczegółowy zakres robót opisany został w </w:t>
      </w:r>
      <w:r w:rsidR="002D6855" w:rsidRPr="001B7422">
        <w:rPr>
          <w:rFonts w:ascii="Tahoma" w:hAnsi="Tahoma" w:cs="Tahoma"/>
        </w:rPr>
        <w:t xml:space="preserve">dokumentacji projektowej i w STWiOR oraz </w:t>
      </w:r>
      <w:r w:rsidRPr="001B7422">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B0D7A"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w:t>
      </w:r>
      <w:r w:rsidRPr="00A7129F">
        <w:rPr>
          <w:rFonts w:cs="Tahoma"/>
          <w:sz w:val="20"/>
        </w:rPr>
        <w:t>rur, kształtek i obiektów stawian</w:t>
      </w:r>
      <w:r>
        <w:rPr>
          <w:rFonts w:cs="Tahoma"/>
          <w:sz w:val="20"/>
        </w:rPr>
        <w:t>ych</w:t>
      </w:r>
      <w:r w:rsidRPr="00A7129F">
        <w:rPr>
          <w:rFonts w:cs="Tahoma"/>
          <w:sz w:val="20"/>
        </w:rPr>
        <w:t xml:space="preserve"> nowoprojektowanym </w:t>
      </w:r>
      <w:r w:rsidRPr="00B117E6">
        <w:rPr>
          <w:rFonts w:cs="Tahoma"/>
          <w:sz w:val="20"/>
        </w:rPr>
        <w:t>układom wodociągowy</w:t>
      </w:r>
      <w:r w:rsidR="00402AD3">
        <w:rPr>
          <w:rFonts w:cs="Tahoma"/>
          <w:sz w:val="20"/>
        </w:rPr>
        <w:t>m</w:t>
      </w:r>
      <w:r>
        <w:rPr>
          <w:rFonts w:cs="Tahoma"/>
          <w:sz w:val="20"/>
        </w:rPr>
        <w:t xml:space="preserve"> </w:t>
      </w:r>
      <w:r w:rsidR="00353755" w:rsidRPr="00CC00B4">
        <w:rPr>
          <w:rFonts w:cs="Tahoma"/>
          <w:sz w:val="20"/>
        </w:rPr>
        <w:t xml:space="preserve">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4B48E3">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w:t>
      </w:r>
      <w:r w:rsidRPr="00881785">
        <w:rPr>
          <w:rFonts w:ascii="Tahoma" w:hAnsi="Tahoma" w:cs="Tahoma"/>
          <w:iCs/>
        </w:rPr>
        <w:lastRenderedPageBreak/>
        <w:t>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w:t>
      </w:r>
      <w:r w:rsidR="000B1973">
        <w:rPr>
          <w:rFonts w:ascii="Tahoma" w:hAnsi="Tahoma" w:cs="Tahoma"/>
          <w:iCs/>
        </w:rPr>
        <w:t>ryczałtowym</w:t>
      </w:r>
      <w:r w:rsidR="00EE0307" w:rsidRPr="00910743">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lastRenderedPageBreak/>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0C3A88" w:rsidRDefault="00445C00" w:rsidP="00340EAE">
      <w:pPr>
        <w:pStyle w:val="Tekstpodstawowy2"/>
        <w:rPr>
          <w:rFonts w:ascii="Tahoma" w:hAnsi="Tahoma" w:cs="Tahoma"/>
        </w:rPr>
      </w:pPr>
      <w:r w:rsidRPr="00340EAE">
        <w:rPr>
          <w:rFonts w:ascii="Tahoma" w:hAnsi="Tahoma" w:cs="Tahoma"/>
        </w:rPr>
        <w:t xml:space="preserve">Strony ustalają następujący termin zakończenia realizacji umowy – </w:t>
      </w:r>
      <w:r w:rsidR="00340EAE" w:rsidRPr="00340EAE">
        <w:rPr>
          <w:rFonts w:ascii="Tahoma" w:hAnsi="Tahoma" w:cs="Tahoma"/>
          <w:b/>
        </w:rPr>
        <w:t>6</w:t>
      </w:r>
      <w:r w:rsidRPr="00340EAE">
        <w:rPr>
          <w:rFonts w:ascii="Tahoma" w:hAnsi="Tahoma" w:cs="Tahoma"/>
          <w:b/>
        </w:rPr>
        <w:t xml:space="preserve"> miesi</w:t>
      </w:r>
      <w:r w:rsidR="00340EAE" w:rsidRPr="00340EAE">
        <w:rPr>
          <w:rFonts w:ascii="Tahoma" w:hAnsi="Tahoma" w:cs="Tahoma"/>
          <w:b/>
        </w:rPr>
        <w:t>ęcy</w:t>
      </w:r>
      <w:r w:rsidR="00AA368F" w:rsidRPr="00340EAE">
        <w:rPr>
          <w:rFonts w:ascii="Tahoma" w:hAnsi="Tahoma" w:cs="Tahoma"/>
        </w:rPr>
        <w:t xml:space="preserve"> od daty podpisania umowy</w:t>
      </w:r>
      <w:r w:rsidR="00910743" w:rsidRPr="00340EAE">
        <w:rPr>
          <w:rFonts w:ascii="Tahoma" w:hAnsi="Tahoma" w:cs="Tahoma"/>
        </w:rPr>
        <w: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lastRenderedPageBreak/>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lastRenderedPageBreak/>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D34A48" w:rsidRPr="003B0D7A"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3B0D7A"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mikroorganizmów w temperaturze  22 </w:t>
      </w:r>
      <w:proofErr w:type="spellStart"/>
      <w:r w:rsidRPr="00CD4C0B">
        <w:rPr>
          <w:rFonts w:ascii="Tahoma" w:hAnsi="Tahoma" w:cs="Tahoma"/>
          <w:sz w:val="20"/>
          <w:szCs w:val="20"/>
          <w:vertAlign w:val="superscript"/>
        </w:rPr>
        <w:t>o</w:t>
      </w:r>
      <w:r w:rsidRPr="00CD4C0B">
        <w:rPr>
          <w:rFonts w:ascii="Tahoma" w:hAnsi="Tahoma" w:cs="Tahoma"/>
          <w:sz w:val="20"/>
          <w:szCs w:val="20"/>
        </w:rPr>
        <w:t>C</w:t>
      </w:r>
      <w:proofErr w:type="spellEnd"/>
      <w:r w:rsidRPr="00CD4C0B">
        <w:rPr>
          <w:rFonts w:ascii="Tahoma" w:hAnsi="Tahoma" w:cs="Tahoma"/>
          <w:sz w:val="20"/>
          <w:szCs w:val="20"/>
        </w:rPr>
        <w:t xml:space="preserve">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lastRenderedPageBreak/>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363F95" w:rsidRPr="00910743" w:rsidRDefault="00363F95" w:rsidP="00363F95">
      <w:pPr>
        <w:pStyle w:val="Tekstpodstawowy"/>
        <w:numPr>
          <w:ilvl w:val="0"/>
          <w:numId w:val="5"/>
        </w:numPr>
        <w:tabs>
          <w:tab w:val="clear" w:pos="360"/>
        </w:tabs>
        <w:ind w:left="924" w:hanging="357"/>
        <w:rPr>
          <w:rFonts w:cs="Tahoma"/>
          <w:sz w:val="20"/>
        </w:rPr>
      </w:pPr>
      <w:r w:rsidRPr="00910743">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3B0D7A" w:rsidRPr="00CD4C0B"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w:t>
      </w:r>
      <w:r w:rsidR="00910743">
        <w:rPr>
          <w:rFonts w:ascii="Tahoma" w:hAnsi="Tahoma" w:cs="Tahoma"/>
          <w:sz w:val="20"/>
          <w:szCs w:val="20"/>
        </w:rPr>
        <w:t>m</w:t>
      </w:r>
      <w:r w:rsidRPr="00CD4C0B">
        <w:rPr>
          <w:rFonts w:ascii="Tahoma" w:hAnsi="Tahoma" w:cs="Tahoma"/>
          <w:sz w:val="20"/>
          <w:szCs w:val="20"/>
        </w:rPr>
        <w:t>ą PN-86/B 09700;</w:t>
      </w:r>
    </w:p>
    <w:p w:rsidR="003B0D7A" w:rsidRPr="00A22CFC" w:rsidRDefault="003B0D7A" w:rsidP="00A22CFC">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w:t>
      </w:r>
      <w:r w:rsidR="00A22CFC">
        <w:rPr>
          <w:rFonts w:ascii="Tahoma" w:hAnsi="Tahoma" w:cs="Tahoma"/>
          <w:sz w:val="20"/>
          <w:szCs w:val="20"/>
        </w:rPr>
        <w:t>ów</w:t>
      </w:r>
      <w:r w:rsidRPr="00A22CFC">
        <w:rPr>
          <w:rFonts w:ascii="Tahoma" w:hAnsi="Tahoma" w:cs="Tahoma"/>
          <w:sz w:val="20"/>
          <w:szCs w:val="20"/>
        </w:rPr>
        <w:t xml:space="preserve"> sporządzonego przez uprawnioną </w:t>
      </w:r>
      <w:r w:rsidR="00910743" w:rsidRPr="00A22CFC">
        <w:rPr>
          <w:rFonts w:ascii="Tahoma" w:hAnsi="Tahoma" w:cs="Tahoma"/>
          <w:sz w:val="20"/>
          <w:szCs w:val="20"/>
        </w:rPr>
        <w:t>f</w:t>
      </w:r>
      <w:r w:rsidRPr="00A22CFC">
        <w:rPr>
          <w:rFonts w:ascii="Tahoma" w:hAnsi="Tahoma" w:cs="Tahoma"/>
          <w:sz w:val="20"/>
          <w:szCs w:val="20"/>
        </w:rPr>
        <w:t>irmę</w:t>
      </w:r>
      <w:r w:rsidR="00910743" w:rsidRPr="00A22CFC">
        <w:rPr>
          <w:rFonts w:ascii="Tahoma" w:hAnsi="Tahoma" w:cs="Tahoma"/>
          <w:sz w:val="20"/>
          <w:szCs w:val="20"/>
        </w:rPr>
        <w:t>;</w:t>
      </w:r>
    </w:p>
    <w:p w:rsidR="003B0D7A"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r w:rsidR="00910743">
        <w:rPr>
          <w:rFonts w:ascii="Tahoma" w:hAnsi="Tahoma" w:cs="Tahoma"/>
          <w:sz w:val="20"/>
          <w:szCs w:val="20"/>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3B0D7A" w:rsidRDefault="003B0D7A"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lastRenderedPageBreak/>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0C3A88">
        <w:rPr>
          <w:sz w:val="20"/>
        </w:rPr>
        <w:t>szacunko</w:t>
      </w:r>
      <w:r w:rsidR="00B6343E">
        <w:rPr>
          <w:sz w:val="20"/>
        </w:rPr>
        <w:t xml:space="preserve">we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w:t>
      </w:r>
      <w:r w:rsidRPr="00A22CFC">
        <w:rPr>
          <w:rFonts w:cs="Tahoma"/>
          <w:sz w:val="20"/>
        </w:rPr>
        <w:t>słownie:  …………………………………………………………………</w:t>
      </w:r>
      <w:r w:rsidR="00D40E7C" w:rsidRPr="00A22CFC">
        <w:rPr>
          <w:rFonts w:cs="Tahoma"/>
          <w:sz w:val="20"/>
        </w:rPr>
        <w:t>…………..</w:t>
      </w:r>
      <w:r w:rsidR="00B6343E" w:rsidRPr="00A22CFC">
        <w:rPr>
          <w:rFonts w:cs="Tahoma"/>
          <w:sz w:val="20"/>
        </w:rPr>
        <w:t>………………………………………… zł 00</w:t>
      </w:r>
      <w:r w:rsidR="00B6343E">
        <w:rPr>
          <w:rFonts w:cs="Tahoma"/>
          <w:sz w:val="20"/>
        </w:rPr>
        <w:t>/100).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0C3A88" w:rsidRPr="00E7664F" w:rsidRDefault="000C3A88" w:rsidP="000C3A88">
      <w:pPr>
        <w:pStyle w:val="Tekstpodstawowy"/>
        <w:numPr>
          <w:ilvl w:val="0"/>
          <w:numId w:val="23"/>
        </w:numPr>
        <w:tabs>
          <w:tab w:val="clear" w:pos="540"/>
        </w:tabs>
        <w:ind w:left="360"/>
        <w:rPr>
          <w:rFonts w:cs="Tahoma"/>
          <w:sz w:val="20"/>
        </w:rPr>
      </w:pPr>
      <w:r w:rsidRPr="00E7664F">
        <w:rPr>
          <w:rFonts w:cs="Tahoma"/>
          <w:sz w:val="20"/>
        </w:rPr>
        <w:t>Podana w ust. 1 wartość wynagrodzenia jest wartością</w:t>
      </w:r>
      <w:r>
        <w:rPr>
          <w:rFonts w:cs="Tahoma"/>
          <w:sz w:val="20"/>
        </w:rPr>
        <w:t xml:space="preserve"> szacunkową</w:t>
      </w:r>
      <w:r w:rsidRPr="00E7664F">
        <w:rPr>
          <w:rFonts w:cs="Tahoma"/>
          <w:sz w:val="20"/>
        </w:rPr>
        <w:t xml:space="preserve">. Rzeczywisty koszt wykonania zadania zostanie podany po jego zakończeniu, na podstawie powykonawczego </w:t>
      </w:r>
      <w:r w:rsidRPr="00E7664F">
        <w:rPr>
          <w:rFonts w:cs="Tahoma"/>
          <w:b/>
          <w:sz w:val="20"/>
        </w:rPr>
        <w:t xml:space="preserve">obmiaru </w:t>
      </w:r>
      <w:r w:rsidRPr="00E7664F">
        <w:rPr>
          <w:rFonts w:cs="Tahoma"/>
          <w:sz w:val="20"/>
        </w:rPr>
        <w:t>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lastRenderedPageBreak/>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1701F">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 xml:space="preserve">oświadczeń Podwykonawcy i odpowiednio dalszych podwykonawców (wraz z kopiami wszystkich dokumentów wymienionych w oświadczeniu) potwierdzonych przez Wykonawcę o stanie rozliczeń </w:t>
      </w:r>
      <w:r w:rsidRPr="00965A48">
        <w:rPr>
          <w:rFonts w:ascii="Tahoma" w:hAnsi="Tahoma" w:cs="Tahoma"/>
          <w:sz w:val="20"/>
        </w:rPr>
        <w:lastRenderedPageBreak/>
        <w:t>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302F68">
      <w:pPr>
        <w:numPr>
          <w:ilvl w:val="0"/>
          <w:numId w:val="35"/>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lastRenderedPageBreak/>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lastRenderedPageBreak/>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302F68">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302F68">
      <w:pPr>
        <w:pStyle w:val="Akapitzlist"/>
        <w:numPr>
          <w:ilvl w:val="0"/>
          <w:numId w:val="37"/>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2B7DEC" w:rsidRPr="002B7DEC" w:rsidRDefault="002B7DEC" w:rsidP="00302F68">
      <w:pPr>
        <w:pStyle w:val="Akapitzlist"/>
        <w:numPr>
          <w:ilvl w:val="0"/>
          <w:numId w:val="37"/>
        </w:numPr>
        <w:ind w:left="1134"/>
        <w:jc w:val="both"/>
        <w:rPr>
          <w:rFonts w:ascii="Tahoma" w:hAnsi="Tahoma" w:cs="Tahoma"/>
          <w:color w:val="000000"/>
          <w:sz w:val="20"/>
          <w:szCs w:val="20"/>
        </w:rPr>
      </w:pPr>
      <w:r w:rsidRPr="002B7DEC">
        <w:rPr>
          <w:rFonts w:ascii="Tahoma" w:hAnsi="Tahoma" w:cs="Tahoma"/>
          <w:color w:val="000000"/>
          <w:sz w:val="20"/>
          <w:szCs w:val="20"/>
        </w:rPr>
        <w:t>przekazanie w wersji papierowej kopii szkiców polowych z pomiaru wraz z wykazem współrzędnych inwentaryzowanych punktów w 2 egzemplarzach, na szkicach polowych należy wykazać:</w:t>
      </w:r>
    </w:p>
    <w:p w:rsidR="0071701F" w:rsidRPr="0071701F" w:rsidRDefault="0071701F" w:rsidP="0071701F">
      <w:pPr>
        <w:ind w:left="1134"/>
        <w:jc w:val="both"/>
        <w:rPr>
          <w:rFonts w:ascii="Tahoma" w:hAnsi="Tahoma" w:cs="Tahoma"/>
          <w:color w:val="000000"/>
        </w:rPr>
      </w:pPr>
      <w:r w:rsidRPr="0071701F">
        <w:rPr>
          <w:rFonts w:ascii="Tahoma" w:hAnsi="Tahoma" w:cs="Tahoma"/>
          <w:color w:val="000000"/>
          <w:u w:val="single"/>
        </w:rPr>
        <w:t>dla sieci wodociągowej</w:t>
      </w:r>
      <w:r w:rsidRPr="0071701F">
        <w:rPr>
          <w:rFonts w:ascii="Tahoma" w:hAnsi="Tahoma" w:cs="Tahoma"/>
          <w:color w:val="000000"/>
        </w:rPr>
        <w:t>: rzędne posadowienia rur w węzłach, minimum co 150 m, wraz z wykazaniem na szkicach inwentaryzacyjnych współrzędnych inwentaryzowanych punktów oraz określeniem miejsca niwelacji rury (oś lub góra rury)</w:t>
      </w:r>
    </w:p>
    <w:p w:rsidR="002B7DEC" w:rsidRPr="002B7DEC" w:rsidRDefault="002B7DEC" w:rsidP="00302F68">
      <w:pPr>
        <w:pStyle w:val="Akapitzlist"/>
        <w:numPr>
          <w:ilvl w:val="0"/>
          <w:numId w:val="37"/>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302F68">
      <w:pPr>
        <w:pStyle w:val="Akapitzlist"/>
        <w:numPr>
          <w:ilvl w:val="0"/>
          <w:numId w:val="37"/>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302F68">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302F68">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302F68">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302F68">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302F68">
      <w:pPr>
        <w:numPr>
          <w:ilvl w:val="0"/>
          <w:numId w:val="34"/>
        </w:numPr>
        <w:jc w:val="both"/>
        <w:rPr>
          <w:rFonts w:ascii="Tahoma" w:hAnsi="Tahoma" w:cs="Tahoma"/>
        </w:rPr>
      </w:pPr>
      <w:r w:rsidRPr="0033548C">
        <w:rPr>
          <w:rFonts w:ascii="Tahoma" w:hAnsi="Tahoma" w:cs="Tahoma"/>
        </w:rPr>
        <w:lastRenderedPageBreak/>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 xml:space="preserve">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w:t>
      </w:r>
      <w:r w:rsidRPr="00836720">
        <w:rPr>
          <w:rFonts w:cs="Tahoma"/>
          <w:sz w:val="20"/>
        </w:rPr>
        <w:lastRenderedPageBreak/>
        <w:t>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402AD3" w:rsidRDefault="00402AD3" w:rsidP="00D34A48">
      <w:pPr>
        <w:pStyle w:val="Normalny1"/>
        <w:jc w:val="both"/>
        <w:rPr>
          <w:rFonts w:ascii="Tahoma" w:hAnsi="Tahoma" w:cs="Tahoma"/>
          <w:sz w:val="20"/>
        </w:rPr>
      </w:pPr>
    </w:p>
    <w:p w:rsidR="00402AD3" w:rsidRDefault="00402AD3" w:rsidP="00D34A48">
      <w:pPr>
        <w:pStyle w:val="Normalny1"/>
        <w:jc w:val="both"/>
        <w:rPr>
          <w:rFonts w:ascii="Tahoma" w:hAnsi="Tahoma" w:cs="Tahoma"/>
          <w:sz w:val="20"/>
        </w:rPr>
      </w:pPr>
    </w:p>
    <w:p w:rsidR="00402AD3" w:rsidRDefault="00402AD3" w:rsidP="00D34A48">
      <w:pPr>
        <w:pStyle w:val="Normalny1"/>
        <w:jc w:val="both"/>
        <w:rPr>
          <w:rFonts w:ascii="Tahoma" w:hAnsi="Tahoma" w:cs="Tahoma"/>
          <w:sz w:val="20"/>
        </w:rPr>
      </w:pPr>
    </w:p>
    <w:p w:rsidR="00402AD3" w:rsidRDefault="00402AD3"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lastRenderedPageBreak/>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t>
      </w:r>
      <w:r w:rsidRPr="00A22CFC">
        <w:rPr>
          <w:rFonts w:ascii="Tahoma" w:hAnsi="Tahoma" w:cs="Tahoma"/>
          <w:iCs/>
          <w:sz w:val="20"/>
          <w:szCs w:val="20"/>
        </w:rPr>
        <w:t>wykonaniu przedmiotu umowy - w stosunku do terminu określonego w umowie w wysokości 0,</w:t>
      </w:r>
      <w:r w:rsidR="005567AD">
        <w:rPr>
          <w:rFonts w:ascii="Tahoma" w:hAnsi="Tahoma" w:cs="Tahoma"/>
          <w:iCs/>
          <w:sz w:val="20"/>
          <w:szCs w:val="20"/>
        </w:rPr>
        <w:t>1</w:t>
      </w:r>
      <w:r w:rsidRPr="00A22CFC">
        <w:rPr>
          <w:rFonts w:ascii="Tahoma" w:hAnsi="Tahoma" w:cs="Tahoma"/>
          <w:iCs/>
          <w:sz w:val="20"/>
          <w:szCs w:val="20"/>
        </w:rPr>
        <w:t xml:space="preserve"> %</w:t>
      </w:r>
      <w:r w:rsidRPr="0071701F">
        <w:rPr>
          <w:rFonts w:ascii="Tahoma" w:hAnsi="Tahoma" w:cs="Tahoma"/>
          <w:iCs/>
          <w:sz w:val="20"/>
          <w:szCs w:val="20"/>
        </w:rPr>
        <w:t xml:space="preserve"> </w:t>
      </w:r>
      <w:r w:rsidR="00577BB7" w:rsidRPr="0071701F">
        <w:rPr>
          <w:rFonts w:ascii="Tahoma" w:hAnsi="Tahoma" w:cs="Tahoma"/>
          <w:iCs/>
          <w:sz w:val="20"/>
          <w:szCs w:val="20"/>
        </w:rPr>
        <w:t xml:space="preserve">wynagrodzenia brutto </w:t>
      </w:r>
      <w:r w:rsidR="00F835DC" w:rsidRPr="0071701F">
        <w:rPr>
          <w:rFonts w:ascii="Tahoma" w:hAnsi="Tahoma" w:cs="Tahoma"/>
          <w:iCs/>
          <w:sz w:val="20"/>
          <w:szCs w:val="20"/>
        </w:rPr>
        <w:t>określonego w § 8 ust. 1, za każdy dzień</w:t>
      </w:r>
      <w:r w:rsidR="00F835DC">
        <w:rPr>
          <w:rFonts w:ascii="Tahoma" w:hAnsi="Tahoma" w:cs="Tahoma"/>
          <w:iCs/>
          <w:sz w:val="20"/>
          <w:szCs w:val="20"/>
        </w:rPr>
        <w:t xml:space="preserve">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5567AD">
        <w:rPr>
          <w:rFonts w:ascii="Tahoma" w:hAnsi="Tahoma" w:cs="Tahoma"/>
          <w:iCs/>
          <w:sz w:val="20"/>
          <w:szCs w:val="20"/>
        </w:rPr>
        <w:t>1</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w:t>
      </w:r>
      <w:r w:rsidR="005567AD">
        <w:rPr>
          <w:rFonts w:ascii="Tahoma" w:hAnsi="Tahoma" w:cs="Tahoma"/>
          <w:iCs/>
          <w:sz w:val="20"/>
          <w:szCs w:val="20"/>
        </w:rPr>
        <w:t>ową</w:t>
      </w:r>
      <w:r w:rsidRPr="00FF0116">
        <w:rPr>
          <w:rFonts w:ascii="Tahoma" w:hAnsi="Tahoma" w:cs="Tahoma"/>
          <w:iCs/>
          <w:sz w:val="20"/>
          <w:szCs w:val="20"/>
        </w:rPr>
        <w:t xml:space="preserve"> w wysokości 0,</w:t>
      </w:r>
      <w:r w:rsidR="005567AD">
        <w:rPr>
          <w:rFonts w:ascii="Tahoma" w:hAnsi="Tahoma" w:cs="Tahoma"/>
          <w:iCs/>
          <w:sz w:val="20"/>
          <w:szCs w:val="20"/>
        </w:rPr>
        <w:t>1</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A22CFC">
        <w:rPr>
          <w:rFonts w:ascii="Tahoma" w:hAnsi="Tahoma" w:cs="Tahoma"/>
          <w:iCs/>
          <w:sz w:val="20"/>
          <w:szCs w:val="20"/>
        </w:rPr>
        <w:t>5</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A22CFC">
        <w:rPr>
          <w:rFonts w:ascii="Tahoma" w:hAnsi="Tahoma" w:cs="Tahoma"/>
          <w:iCs/>
          <w:sz w:val="20"/>
          <w:szCs w:val="20"/>
        </w:rPr>
        <w:t>5</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0C3A8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lastRenderedPageBreak/>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22CFC"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w:t>
      </w:r>
      <w:r w:rsidRPr="00A22CFC">
        <w:rPr>
          <w:rFonts w:cs="Tahoma"/>
          <w:iCs/>
          <w:sz w:val="20"/>
        </w:rPr>
        <w:t>bezpośrednich zapłat na sumę większą niż 5% wynagrodzenia kosztorysowego.</w:t>
      </w:r>
    </w:p>
    <w:p w:rsidR="00D34A48" w:rsidRDefault="00D34A48" w:rsidP="00D34A48">
      <w:pPr>
        <w:ind w:left="360"/>
        <w:jc w:val="both"/>
        <w:rPr>
          <w:rFonts w:ascii="Tahoma" w:hAnsi="Tahoma" w:cs="Tahoma"/>
          <w:iCs/>
        </w:rPr>
      </w:pPr>
      <w:r w:rsidRPr="00A22CFC">
        <w:rPr>
          <w:rFonts w:ascii="Tahoma" w:hAnsi="Tahoma" w:cs="Tahoma"/>
          <w:iCs/>
        </w:rPr>
        <w:t xml:space="preserve">Odstąpienie od umowy w przypadkach wskazanych w punktach  </w:t>
      </w:r>
      <w:proofErr w:type="spellStart"/>
      <w:r w:rsidRPr="00A22CFC">
        <w:rPr>
          <w:rFonts w:ascii="Tahoma" w:hAnsi="Tahoma" w:cs="Tahoma"/>
          <w:iCs/>
        </w:rPr>
        <w:t>a,b,c,d,f</w:t>
      </w:r>
      <w:proofErr w:type="spellEnd"/>
      <w:r w:rsidRPr="00A22CFC">
        <w:rPr>
          <w:rFonts w:ascii="Tahoma" w:hAnsi="Tahoma" w:cs="Tahoma"/>
          <w:iCs/>
        </w:rPr>
        <w:t xml:space="preserve">  w terminie do </w:t>
      </w:r>
      <w:r w:rsidR="00A22CFC" w:rsidRPr="00A22CFC">
        <w:rPr>
          <w:rFonts w:ascii="Tahoma" w:hAnsi="Tahoma" w:cs="Tahoma"/>
          <w:iCs/>
        </w:rPr>
        <w:t>6</w:t>
      </w:r>
      <w:r w:rsidRPr="00A22CFC">
        <w:rPr>
          <w:rFonts w:ascii="Tahoma" w:hAnsi="Tahoma" w:cs="Tahoma"/>
          <w:iCs/>
        </w:rPr>
        <w:t>0 dni od powzięcia wiadomości, natomiast w przypadku wskazanym w punktach e   – w terminie 30 dni od upływu terminu wskazanego w wezwaniu na</w:t>
      </w:r>
      <w:r w:rsidR="001C7FB2" w:rsidRPr="00A22CFC">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lastRenderedPageBreak/>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lastRenderedPageBreak/>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402AD3" w:rsidRPr="00ED0D61" w:rsidRDefault="00402AD3" w:rsidP="00402AD3">
      <w:pPr>
        <w:pStyle w:val="Akapitzlist"/>
        <w:numPr>
          <w:ilvl w:val="0"/>
          <w:numId w:val="25"/>
        </w:numPr>
        <w:shd w:val="clear" w:color="auto" w:fill="FFFFFF"/>
        <w:tabs>
          <w:tab w:val="clear" w:pos="720"/>
        </w:tabs>
        <w:ind w:left="426"/>
        <w:jc w:val="both"/>
        <w:rPr>
          <w:rFonts w:ascii="Tahoma" w:hAnsi="Tahoma" w:cs="Tahoma"/>
          <w:color w:val="000000"/>
          <w:sz w:val="20"/>
          <w:szCs w:val="20"/>
        </w:rPr>
      </w:pPr>
      <w:r w:rsidRPr="00ED0D61">
        <w:rPr>
          <w:rFonts w:ascii="Tahoma" w:hAnsi="Tahoma" w:cs="Tahoma"/>
          <w:color w:val="000000"/>
          <w:sz w:val="20"/>
          <w:szCs w:val="20"/>
        </w:rPr>
        <w:t xml:space="preserve">Zamawiający, zgodnie z art. 4 ust. 3 i ust. 4 ustawy z dnia 9 listopada 2018 r. o elektronicznym fakturowaniu w zamówieniach publicznych, koncesjach na roboty budowlane lub usługi oraz partnerstwie publiczno - prywatnym (tekst jedn. Dz. U. z 2020 r. poz. 1666 ze zm.), w związku brakiem konieczności zastosowania ustawy z dnia 11 września 2019 r. Prawo zamówień publicznych (tekst. jedn. Dz. U. z 2024 poz. 1320 ze zm.) – </w:t>
      </w:r>
      <w:r w:rsidRPr="00ED0D61">
        <w:rPr>
          <w:rFonts w:ascii="Tahoma" w:hAnsi="Tahoma" w:cs="Tahoma"/>
          <w:b/>
          <w:color w:val="000000"/>
          <w:sz w:val="20"/>
          <w:szCs w:val="20"/>
        </w:rPr>
        <w:t>wyłącza</w:t>
      </w:r>
      <w:r w:rsidRPr="00ED0D61">
        <w:rPr>
          <w:rFonts w:ascii="Tahoma" w:hAnsi="Tahoma" w:cs="Tahoma"/>
          <w:color w:val="000000"/>
          <w:sz w:val="20"/>
          <w:szCs w:val="20"/>
        </w:rPr>
        <w:t xml:space="preserve"> możliwość stosowania ustrukturyzowanych faktur elektronicznych oraz wysyłania i odbierania innych ustrukturyzowanych dokumentów elektronicznych za pomocą Platformy Elektronicznego Fakturowania.</w:t>
      </w:r>
    </w:p>
    <w:p w:rsidR="00402AD3" w:rsidRPr="00ED0D61" w:rsidRDefault="00402AD3" w:rsidP="00402AD3">
      <w:pPr>
        <w:pStyle w:val="Tekstpodstawowy"/>
        <w:numPr>
          <w:ilvl w:val="0"/>
          <w:numId w:val="25"/>
        </w:numPr>
        <w:tabs>
          <w:tab w:val="clear" w:pos="720"/>
        </w:tabs>
        <w:ind w:left="426"/>
        <w:rPr>
          <w:rFonts w:cs="Tahoma"/>
          <w:sz w:val="20"/>
        </w:rPr>
      </w:pPr>
      <w:r w:rsidRPr="00ED0D61">
        <w:rPr>
          <w:rFonts w:cs="Tahoma"/>
          <w:sz w:val="20"/>
        </w:rPr>
        <w:t>Zamawiający </w:t>
      </w:r>
      <w:r w:rsidRPr="00ED0D61">
        <w:rPr>
          <w:rFonts w:cs="Tahoma"/>
          <w:b/>
          <w:bCs/>
          <w:sz w:val="20"/>
        </w:rPr>
        <w:t>nie wyraża </w:t>
      </w:r>
      <w:r w:rsidRPr="00ED0D61">
        <w:rPr>
          <w:rFonts w:cs="Tahoma"/>
          <w:sz w:val="20"/>
        </w:rPr>
        <w:t>zgody, o której mowa w art. 106na ust. 2 ustawy z dnia 11 marca 2004 r. o podatku od towarów i usług (tekst jedn. Dz. U. z 2024 r. poz. 361 ze zm.), na otrzymywanie ustrukturyzowanych faktur przy użyciu Krajowego Systemu e-Faktur (dalej zwanym „</w:t>
      </w:r>
      <w:proofErr w:type="spellStart"/>
      <w:r w:rsidRPr="00ED0D61">
        <w:rPr>
          <w:rFonts w:cs="Tahoma"/>
          <w:sz w:val="20"/>
        </w:rPr>
        <w:t>KSeF</w:t>
      </w:r>
      <w:proofErr w:type="spellEnd"/>
      <w:r w:rsidRPr="00ED0D61">
        <w:rPr>
          <w:rFonts w:cs="Tahoma"/>
          <w:sz w:val="20"/>
        </w:rPr>
        <w:t xml:space="preserve">”), w okresie fakultatywnego stosowania </w:t>
      </w:r>
      <w:proofErr w:type="spellStart"/>
      <w:r w:rsidRPr="00ED0D61">
        <w:rPr>
          <w:rFonts w:cs="Tahoma"/>
          <w:sz w:val="20"/>
        </w:rPr>
        <w:t>KSeF</w:t>
      </w:r>
      <w:proofErr w:type="spellEnd"/>
      <w:r w:rsidRPr="00ED0D61">
        <w:rPr>
          <w:rFonts w:cs="Tahoma"/>
          <w:sz w:val="20"/>
        </w:rPr>
        <w:t>.</w:t>
      </w:r>
    </w:p>
    <w:p w:rsidR="00402AD3" w:rsidRPr="00132843" w:rsidRDefault="00402AD3" w:rsidP="00402AD3">
      <w:pPr>
        <w:pStyle w:val="Tekstpodstawowy"/>
        <w:numPr>
          <w:ilvl w:val="0"/>
          <w:numId w:val="25"/>
        </w:numPr>
        <w:tabs>
          <w:tab w:val="clear" w:pos="720"/>
        </w:tabs>
        <w:ind w:left="426"/>
        <w:rPr>
          <w:rFonts w:cs="Tahoma"/>
          <w:sz w:val="20"/>
        </w:rPr>
      </w:pPr>
      <w:r w:rsidRPr="00ED0D61">
        <w:rPr>
          <w:rFonts w:cs="Tahoma"/>
          <w:color w:val="000000"/>
          <w:sz w:val="20"/>
        </w:rPr>
        <w:t>Zgodnie z wymogami art. 4c znowelizowanej ustawy z dnia 8 marca 2013 r. o przeciwdziałaniu nadmiernym opóźnieniom w transakcjach handlowych (Dz. U. z 2023 poz. 1790) - 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p>
    <w:p w:rsidR="000333F5" w:rsidRDefault="000333F5" w:rsidP="00402AD3">
      <w:pPr>
        <w:pStyle w:val="Tekstpodstawowy"/>
        <w:numPr>
          <w:ilvl w:val="0"/>
          <w:numId w:val="25"/>
        </w:numPr>
        <w:tabs>
          <w:tab w:val="clear" w:pos="720"/>
        </w:tabs>
        <w:ind w:left="426"/>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402AD3">
      <w:pPr>
        <w:pStyle w:val="Tekstpodstawowy"/>
        <w:numPr>
          <w:ilvl w:val="0"/>
          <w:numId w:val="25"/>
        </w:numPr>
        <w:tabs>
          <w:tab w:val="clear" w:pos="720"/>
        </w:tabs>
        <w:ind w:left="426"/>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402AD3">
      <w:pPr>
        <w:pStyle w:val="Tekstpodstawowy"/>
        <w:numPr>
          <w:ilvl w:val="0"/>
          <w:numId w:val="25"/>
        </w:numPr>
        <w:tabs>
          <w:tab w:val="clear" w:pos="720"/>
        </w:tabs>
        <w:ind w:left="426"/>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132843" w:rsidRDefault="00D34A48" w:rsidP="00D34A48">
      <w:pPr>
        <w:pStyle w:val="Tekstpodstawowy"/>
        <w:rPr>
          <w:rFonts w:cs="Tahoma"/>
          <w:sz w:val="8"/>
          <w:szCs w:val="8"/>
        </w:rPr>
      </w:pPr>
    </w:p>
    <w:p w:rsidR="00CA2762" w:rsidRPr="00132843" w:rsidRDefault="00D34A48" w:rsidP="00132843">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sectPr w:rsidR="00CA2762" w:rsidRPr="00132843"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75" w:rsidRDefault="00096475" w:rsidP="00495678">
      <w:r>
        <w:separator/>
      </w:r>
    </w:p>
  </w:endnote>
  <w:endnote w:type="continuationSeparator" w:id="0">
    <w:p w:rsidR="00096475" w:rsidRDefault="00096475"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7A" w:rsidRDefault="003513BE" w:rsidP="00CA2762">
    <w:pPr>
      <w:pStyle w:val="Stopka"/>
      <w:framePr w:wrap="around" w:vAnchor="text" w:hAnchor="margin" w:xAlign="right" w:y="1"/>
      <w:rPr>
        <w:rStyle w:val="Numerstrony"/>
      </w:rPr>
    </w:pPr>
    <w:r>
      <w:rPr>
        <w:rStyle w:val="Numerstrony"/>
      </w:rPr>
      <w:fldChar w:fldCharType="begin"/>
    </w:r>
    <w:r w:rsidR="003B0D7A">
      <w:rPr>
        <w:rStyle w:val="Numerstrony"/>
      </w:rPr>
      <w:instrText xml:space="preserve">PAGE  </w:instrText>
    </w:r>
    <w:r>
      <w:rPr>
        <w:rStyle w:val="Numerstrony"/>
      </w:rPr>
      <w:fldChar w:fldCharType="end"/>
    </w:r>
  </w:p>
  <w:p w:rsidR="003B0D7A" w:rsidRDefault="003B0D7A"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7A" w:rsidRDefault="003B0D7A" w:rsidP="00577BB7">
    <w:pPr>
      <w:pStyle w:val="Stopka"/>
      <w:pBdr>
        <w:top w:val="single" w:sz="4" w:space="1" w:color="auto"/>
      </w:pBdr>
      <w:rPr>
        <w:rFonts w:ascii="Tahoma" w:hAnsi="Tahoma" w:cs="Tahoma"/>
        <w:sz w:val="16"/>
        <w:szCs w:val="16"/>
      </w:rPr>
    </w:pPr>
  </w:p>
  <w:p w:rsidR="003B0D7A" w:rsidRPr="004111DB" w:rsidRDefault="003B0D7A" w:rsidP="00FC05A8">
    <w:pPr>
      <w:jc w:val="both"/>
      <w:rPr>
        <w:rFonts w:ascii="Tahoma" w:hAnsi="Tahoma" w:cs="Tahoma"/>
        <w:sz w:val="16"/>
        <w:szCs w:val="16"/>
      </w:rPr>
    </w:pPr>
    <w:r w:rsidRPr="0054528A">
      <w:rPr>
        <w:rFonts w:ascii="Tahoma" w:hAnsi="Tahoma" w:cs="Tahoma"/>
        <w:sz w:val="16"/>
        <w:szCs w:val="16"/>
      </w:rPr>
      <w:t>Budowa</w:t>
    </w:r>
    <w:r w:rsidRPr="0054528A">
      <w:rPr>
        <w:rFonts w:ascii="Tahoma" w:hAnsi="Tahoma" w:cs="Tahoma"/>
        <w:bCs/>
        <w:sz w:val="16"/>
        <w:szCs w:val="16"/>
      </w:rPr>
      <w:t xml:space="preserve"> </w:t>
    </w:r>
    <w:r>
      <w:rPr>
        <w:rFonts w:ascii="Tahoma" w:hAnsi="Tahoma" w:cs="Tahoma"/>
        <w:bCs/>
        <w:sz w:val="16"/>
        <w:szCs w:val="16"/>
      </w:rPr>
      <w:t>sieci wod</w:t>
    </w:r>
    <w:r w:rsidR="00402AD3">
      <w:rPr>
        <w:rFonts w:ascii="Tahoma" w:hAnsi="Tahoma" w:cs="Tahoma"/>
        <w:bCs/>
        <w:sz w:val="16"/>
        <w:szCs w:val="16"/>
      </w:rPr>
      <w:t>ociągowej</w:t>
    </w:r>
    <w:r>
      <w:rPr>
        <w:rFonts w:ascii="Tahoma" w:hAnsi="Tahoma" w:cs="Tahoma"/>
        <w:sz w:val="16"/>
        <w:szCs w:val="16"/>
      </w:rPr>
      <w:t xml:space="preserve"> w ul. </w:t>
    </w:r>
    <w:r w:rsidR="00402AD3">
      <w:rPr>
        <w:rFonts w:ascii="Tahoma" w:hAnsi="Tahoma" w:cs="Tahoma"/>
        <w:sz w:val="16"/>
        <w:szCs w:val="16"/>
      </w:rPr>
      <w:t xml:space="preserve">Ukośnej </w:t>
    </w:r>
    <w:r>
      <w:rPr>
        <w:rFonts w:ascii="Tahoma" w:hAnsi="Tahoma" w:cs="Tahoma"/>
        <w:sz w:val="16"/>
        <w:szCs w:val="16"/>
      </w:rPr>
      <w:t>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75" w:rsidRDefault="00096475" w:rsidP="00495678">
      <w:r>
        <w:separator/>
      </w:r>
    </w:p>
  </w:footnote>
  <w:footnote w:type="continuationSeparator" w:id="0">
    <w:p w:rsidR="00096475" w:rsidRDefault="00096475"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3B0D7A" w:rsidRPr="00226A47" w:rsidRDefault="003513BE">
        <w:pPr>
          <w:pStyle w:val="Nagwek"/>
          <w:jc w:val="right"/>
          <w:rPr>
            <w:rFonts w:ascii="Tahoma" w:hAnsi="Tahoma" w:cs="Tahoma"/>
            <w:sz w:val="16"/>
            <w:szCs w:val="16"/>
          </w:rPr>
        </w:pPr>
        <w:r w:rsidRPr="00226A47">
          <w:rPr>
            <w:rFonts w:ascii="Tahoma" w:hAnsi="Tahoma" w:cs="Tahoma"/>
            <w:sz w:val="16"/>
            <w:szCs w:val="16"/>
          </w:rPr>
          <w:fldChar w:fldCharType="begin"/>
        </w:r>
        <w:r w:rsidR="003B0D7A"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0B1973">
          <w:rPr>
            <w:rFonts w:ascii="Tahoma" w:hAnsi="Tahoma" w:cs="Tahoma"/>
            <w:noProof/>
            <w:sz w:val="16"/>
            <w:szCs w:val="16"/>
          </w:rPr>
          <w:t>2</w:t>
        </w:r>
        <w:r w:rsidRPr="00226A47">
          <w:rPr>
            <w:rFonts w:ascii="Tahoma" w:hAnsi="Tahoma" w:cs="Tahoma"/>
            <w:sz w:val="16"/>
            <w:szCs w:val="16"/>
          </w:rPr>
          <w:fldChar w:fldCharType="end"/>
        </w:r>
      </w:p>
    </w:sdtContent>
  </w:sdt>
  <w:p w:rsidR="003B0D7A" w:rsidRDefault="003B0D7A">
    <w:pPr>
      <w:pStyle w:val="Nagwek"/>
      <w:rPr>
        <w:rFonts w:ascii="Tahoma" w:hAnsi="Tahoma" w:cs="Tahoma"/>
        <w:sz w:val="16"/>
        <w:szCs w:val="16"/>
      </w:rPr>
    </w:pPr>
    <w:r>
      <w:rPr>
        <w:rFonts w:ascii="Tahoma" w:hAnsi="Tahoma" w:cs="Tahoma"/>
        <w:sz w:val="16"/>
        <w:szCs w:val="16"/>
      </w:rPr>
      <w:t>Załącznik nr 1 do SIWZ - Wzór umowy</w:t>
    </w:r>
  </w:p>
  <w:p w:rsidR="003B0D7A" w:rsidRPr="00226A47" w:rsidRDefault="003B0D7A">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4">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6">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5">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6">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4114CB7"/>
    <w:multiLevelType w:val="singleLevel"/>
    <w:tmpl w:val="0415000F"/>
    <w:lvl w:ilvl="0">
      <w:start w:val="1"/>
      <w:numFmt w:val="decimal"/>
      <w:lvlText w:val="%1."/>
      <w:lvlJc w:val="left"/>
      <w:pPr>
        <w:tabs>
          <w:tab w:val="num" w:pos="360"/>
        </w:tabs>
        <w:ind w:left="360" w:hanging="360"/>
      </w:pPr>
    </w:lvl>
  </w:abstractNum>
  <w:abstractNum w:abstractNumId="31">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2">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4">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4"/>
  </w:num>
  <w:num w:numId="3">
    <w:abstractNumId w:val="1"/>
  </w:num>
  <w:num w:numId="4">
    <w:abstractNumId w:val="25"/>
  </w:num>
  <w:num w:numId="5">
    <w:abstractNumId w:val="13"/>
  </w:num>
  <w:num w:numId="6">
    <w:abstractNumId w:val="33"/>
  </w:num>
  <w:num w:numId="7">
    <w:abstractNumId w:val="31"/>
  </w:num>
  <w:num w:numId="8">
    <w:abstractNumId w:val="36"/>
  </w:num>
  <w:num w:numId="9">
    <w:abstractNumId w:val="3"/>
  </w:num>
  <w:num w:numId="10">
    <w:abstractNumId w:val="15"/>
  </w:num>
  <w:num w:numId="11">
    <w:abstractNumId w:val="12"/>
  </w:num>
  <w:num w:numId="12">
    <w:abstractNumId w:val="20"/>
  </w:num>
  <w:num w:numId="13">
    <w:abstractNumId w:val="21"/>
  </w:num>
  <w:num w:numId="14">
    <w:abstractNumId w:val="7"/>
  </w:num>
  <w:num w:numId="15">
    <w:abstractNumId w:val="29"/>
  </w:num>
  <w:num w:numId="16">
    <w:abstractNumId w:val="8"/>
  </w:num>
  <w:num w:numId="17">
    <w:abstractNumId w:val="16"/>
  </w:num>
  <w:num w:numId="18">
    <w:abstractNumId w:val="18"/>
  </w:num>
  <w:num w:numId="19">
    <w:abstractNumId w:val="26"/>
  </w:num>
  <w:num w:numId="20">
    <w:abstractNumId w:val="22"/>
  </w:num>
  <w:num w:numId="21">
    <w:abstractNumId w:val="9"/>
  </w:num>
  <w:num w:numId="22">
    <w:abstractNumId w:val="23"/>
  </w:num>
  <w:num w:numId="23">
    <w:abstractNumId w:val="34"/>
  </w:num>
  <w:num w:numId="24">
    <w:abstractNumId w:val="10"/>
  </w:num>
  <w:num w:numId="25">
    <w:abstractNumId w:val="28"/>
  </w:num>
  <w:num w:numId="26">
    <w:abstractNumId w:val="5"/>
  </w:num>
  <w:num w:numId="27">
    <w:abstractNumId w:val="30"/>
  </w:num>
  <w:num w:numId="28">
    <w:abstractNumId w:val="19"/>
  </w:num>
  <w:num w:numId="29">
    <w:abstractNumId w:val="0"/>
    <w:lvlOverride w:ilvl="0">
      <w:startOverride w:val="1"/>
    </w:lvlOverride>
  </w:num>
  <w:num w:numId="30">
    <w:abstractNumId w:val="27"/>
  </w:num>
  <w:num w:numId="31">
    <w:abstractNumId w:val="17"/>
  </w:num>
  <w:num w:numId="32">
    <w:abstractNumId w:val="11"/>
  </w:num>
  <w:num w:numId="33">
    <w:abstractNumId w:val="4"/>
  </w:num>
  <w:num w:numId="34">
    <w:abstractNumId w:val="35"/>
  </w:num>
  <w:num w:numId="35">
    <w:abstractNumId w:val="14"/>
  </w:num>
  <w:num w:numId="36">
    <w:abstractNumId w:val="32"/>
  </w:num>
  <w:num w:numId="37">
    <w:abstractNumId w:val="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03F0"/>
    <w:rsid w:val="0002233C"/>
    <w:rsid w:val="000333F5"/>
    <w:rsid w:val="000412A2"/>
    <w:rsid w:val="00042C09"/>
    <w:rsid w:val="00045A82"/>
    <w:rsid w:val="00051F91"/>
    <w:rsid w:val="0006357C"/>
    <w:rsid w:val="00072AE9"/>
    <w:rsid w:val="00095139"/>
    <w:rsid w:val="00096475"/>
    <w:rsid w:val="000A044F"/>
    <w:rsid w:val="000A0808"/>
    <w:rsid w:val="000A17D4"/>
    <w:rsid w:val="000A2966"/>
    <w:rsid w:val="000A4C30"/>
    <w:rsid w:val="000A5422"/>
    <w:rsid w:val="000B1973"/>
    <w:rsid w:val="000C3A88"/>
    <w:rsid w:val="000D26CA"/>
    <w:rsid w:val="000D4023"/>
    <w:rsid w:val="000D6228"/>
    <w:rsid w:val="000E2F6F"/>
    <w:rsid w:val="000E310A"/>
    <w:rsid w:val="000F2FF5"/>
    <w:rsid w:val="00102CB2"/>
    <w:rsid w:val="00112ECF"/>
    <w:rsid w:val="001162EA"/>
    <w:rsid w:val="001177DC"/>
    <w:rsid w:val="00124CB7"/>
    <w:rsid w:val="00132843"/>
    <w:rsid w:val="00134AAB"/>
    <w:rsid w:val="00136284"/>
    <w:rsid w:val="00144F63"/>
    <w:rsid w:val="00146C6E"/>
    <w:rsid w:val="00147A89"/>
    <w:rsid w:val="00150937"/>
    <w:rsid w:val="001543D6"/>
    <w:rsid w:val="00154B63"/>
    <w:rsid w:val="0015530F"/>
    <w:rsid w:val="00157695"/>
    <w:rsid w:val="00164FF4"/>
    <w:rsid w:val="00173C2D"/>
    <w:rsid w:val="0017479F"/>
    <w:rsid w:val="00176E90"/>
    <w:rsid w:val="001838CB"/>
    <w:rsid w:val="00191F47"/>
    <w:rsid w:val="0019464A"/>
    <w:rsid w:val="00197B32"/>
    <w:rsid w:val="001A1F5F"/>
    <w:rsid w:val="001A319A"/>
    <w:rsid w:val="001B0D4A"/>
    <w:rsid w:val="001B6D5C"/>
    <w:rsid w:val="001B7422"/>
    <w:rsid w:val="001C2FFF"/>
    <w:rsid w:val="001C36E2"/>
    <w:rsid w:val="001C6F7A"/>
    <w:rsid w:val="001C7FB2"/>
    <w:rsid w:val="001E63DD"/>
    <w:rsid w:val="0020187A"/>
    <w:rsid w:val="00203402"/>
    <w:rsid w:val="00206E01"/>
    <w:rsid w:val="00210582"/>
    <w:rsid w:val="002222B2"/>
    <w:rsid w:val="002223B0"/>
    <w:rsid w:val="00222619"/>
    <w:rsid w:val="002238C8"/>
    <w:rsid w:val="00224C69"/>
    <w:rsid w:val="00225902"/>
    <w:rsid w:val="00226A47"/>
    <w:rsid w:val="00232885"/>
    <w:rsid w:val="00235374"/>
    <w:rsid w:val="00236291"/>
    <w:rsid w:val="00256C3F"/>
    <w:rsid w:val="002579A8"/>
    <w:rsid w:val="00263EA5"/>
    <w:rsid w:val="00265F46"/>
    <w:rsid w:val="00266BA2"/>
    <w:rsid w:val="00271B80"/>
    <w:rsid w:val="002739C2"/>
    <w:rsid w:val="002751F8"/>
    <w:rsid w:val="0027667D"/>
    <w:rsid w:val="00277DE9"/>
    <w:rsid w:val="002A4EB1"/>
    <w:rsid w:val="002A7B43"/>
    <w:rsid w:val="002B5BAF"/>
    <w:rsid w:val="002B7DEC"/>
    <w:rsid w:val="002D31D4"/>
    <w:rsid w:val="002D6855"/>
    <w:rsid w:val="002F706D"/>
    <w:rsid w:val="00302F68"/>
    <w:rsid w:val="00310383"/>
    <w:rsid w:val="003136B2"/>
    <w:rsid w:val="003138A0"/>
    <w:rsid w:val="003145E1"/>
    <w:rsid w:val="00324689"/>
    <w:rsid w:val="00340EAE"/>
    <w:rsid w:val="003430DC"/>
    <w:rsid w:val="003513BE"/>
    <w:rsid w:val="00353755"/>
    <w:rsid w:val="00354461"/>
    <w:rsid w:val="00357620"/>
    <w:rsid w:val="00363F95"/>
    <w:rsid w:val="00373D69"/>
    <w:rsid w:val="00374B99"/>
    <w:rsid w:val="00374B9F"/>
    <w:rsid w:val="003816AA"/>
    <w:rsid w:val="00383731"/>
    <w:rsid w:val="00392913"/>
    <w:rsid w:val="0039441B"/>
    <w:rsid w:val="00396BE2"/>
    <w:rsid w:val="003A3C1D"/>
    <w:rsid w:val="003B0D7A"/>
    <w:rsid w:val="003B44C1"/>
    <w:rsid w:val="003B6CA8"/>
    <w:rsid w:val="003C3F03"/>
    <w:rsid w:val="003C43BE"/>
    <w:rsid w:val="003D1E5E"/>
    <w:rsid w:val="003D1FED"/>
    <w:rsid w:val="003D4ECD"/>
    <w:rsid w:val="003E5806"/>
    <w:rsid w:val="00402AD3"/>
    <w:rsid w:val="00403130"/>
    <w:rsid w:val="00413D3F"/>
    <w:rsid w:val="00414FCB"/>
    <w:rsid w:val="00416929"/>
    <w:rsid w:val="00420FC5"/>
    <w:rsid w:val="00423C49"/>
    <w:rsid w:val="00424380"/>
    <w:rsid w:val="00427B64"/>
    <w:rsid w:val="00434E08"/>
    <w:rsid w:val="00441DAD"/>
    <w:rsid w:val="00445C00"/>
    <w:rsid w:val="00450EF3"/>
    <w:rsid w:val="004513B5"/>
    <w:rsid w:val="00465E14"/>
    <w:rsid w:val="00467FB0"/>
    <w:rsid w:val="00470667"/>
    <w:rsid w:val="00484A59"/>
    <w:rsid w:val="00487CCC"/>
    <w:rsid w:val="004911CD"/>
    <w:rsid w:val="00492D73"/>
    <w:rsid w:val="00493015"/>
    <w:rsid w:val="00495678"/>
    <w:rsid w:val="004978EB"/>
    <w:rsid w:val="004A43AF"/>
    <w:rsid w:val="004A576F"/>
    <w:rsid w:val="004A6122"/>
    <w:rsid w:val="004B48E3"/>
    <w:rsid w:val="004B4F99"/>
    <w:rsid w:val="004B7807"/>
    <w:rsid w:val="004C0216"/>
    <w:rsid w:val="004C2D84"/>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4917"/>
    <w:rsid w:val="005567AD"/>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0D3B"/>
    <w:rsid w:val="005E14BB"/>
    <w:rsid w:val="005E3536"/>
    <w:rsid w:val="005F4880"/>
    <w:rsid w:val="005F73DE"/>
    <w:rsid w:val="005F7A7B"/>
    <w:rsid w:val="00601899"/>
    <w:rsid w:val="00602A04"/>
    <w:rsid w:val="006246E6"/>
    <w:rsid w:val="006279AA"/>
    <w:rsid w:val="00634A10"/>
    <w:rsid w:val="006439C9"/>
    <w:rsid w:val="00644C78"/>
    <w:rsid w:val="006540A3"/>
    <w:rsid w:val="006560F7"/>
    <w:rsid w:val="00660884"/>
    <w:rsid w:val="006651BB"/>
    <w:rsid w:val="00687253"/>
    <w:rsid w:val="00687681"/>
    <w:rsid w:val="006879F6"/>
    <w:rsid w:val="00693F6B"/>
    <w:rsid w:val="006A2146"/>
    <w:rsid w:val="006A3490"/>
    <w:rsid w:val="006B0E4F"/>
    <w:rsid w:val="006B2EB9"/>
    <w:rsid w:val="006B6013"/>
    <w:rsid w:val="006C2B60"/>
    <w:rsid w:val="006D4DF0"/>
    <w:rsid w:val="006E2BB8"/>
    <w:rsid w:val="006E32C6"/>
    <w:rsid w:val="006F424D"/>
    <w:rsid w:val="00700848"/>
    <w:rsid w:val="00703FFC"/>
    <w:rsid w:val="007060B3"/>
    <w:rsid w:val="007140F9"/>
    <w:rsid w:val="007168C9"/>
    <w:rsid w:val="0071701F"/>
    <w:rsid w:val="00733A44"/>
    <w:rsid w:val="00736AFE"/>
    <w:rsid w:val="0074657F"/>
    <w:rsid w:val="00751EF9"/>
    <w:rsid w:val="00752F46"/>
    <w:rsid w:val="0075499C"/>
    <w:rsid w:val="007557BB"/>
    <w:rsid w:val="00756D07"/>
    <w:rsid w:val="00760CD2"/>
    <w:rsid w:val="00767A53"/>
    <w:rsid w:val="00771F37"/>
    <w:rsid w:val="00780312"/>
    <w:rsid w:val="0078260A"/>
    <w:rsid w:val="007853F7"/>
    <w:rsid w:val="0079221F"/>
    <w:rsid w:val="007A7872"/>
    <w:rsid w:val="007B7DB5"/>
    <w:rsid w:val="007C47C8"/>
    <w:rsid w:val="007C6B5D"/>
    <w:rsid w:val="007D052F"/>
    <w:rsid w:val="007D1FE7"/>
    <w:rsid w:val="007E0B31"/>
    <w:rsid w:val="007F0B9F"/>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E2101"/>
    <w:rsid w:val="008F1DC9"/>
    <w:rsid w:val="008F330E"/>
    <w:rsid w:val="00900287"/>
    <w:rsid w:val="00902DAF"/>
    <w:rsid w:val="00910743"/>
    <w:rsid w:val="009111A5"/>
    <w:rsid w:val="00911C24"/>
    <w:rsid w:val="00923E40"/>
    <w:rsid w:val="0093106A"/>
    <w:rsid w:val="009357E8"/>
    <w:rsid w:val="00944330"/>
    <w:rsid w:val="00956273"/>
    <w:rsid w:val="009614BF"/>
    <w:rsid w:val="00963E96"/>
    <w:rsid w:val="00965A48"/>
    <w:rsid w:val="00967892"/>
    <w:rsid w:val="00995750"/>
    <w:rsid w:val="009A0C78"/>
    <w:rsid w:val="009A0E07"/>
    <w:rsid w:val="009A6933"/>
    <w:rsid w:val="009B5409"/>
    <w:rsid w:val="009D3099"/>
    <w:rsid w:val="009E2CB7"/>
    <w:rsid w:val="009E796F"/>
    <w:rsid w:val="009F0975"/>
    <w:rsid w:val="009F62C8"/>
    <w:rsid w:val="00A016AD"/>
    <w:rsid w:val="00A0615C"/>
    <w:rsid w:val="00A12DB2"/>
    <w:rsid w:val="00A22CFC"/>
    <w:rsid w:val="00A23761"/>
    <w:rsid w:val="00A30B93"/>
    <w:rsid w:val="00A37416"/>
    <w:rsid w:val="00A4167C"/>
    <w:rsid w:val="00A442D2"/>
    <w:rsid w:val="00A4645A"/>
    <w:rsid w:val="00A5037D"/>
    <w:rsid w:val="00A50614"/>
    <w:rsid w:val="00A51FBB"/>
    <w:rsid w:val="00A57556"/>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741"/>
    <w:rsid w:val="00B07C37"/>
    <w:rsid w:val="00B104B2"/>
    <w:rsid w:val="00B26369"/>
    <w:rsid w:val="00B331AD"/>
    <w:rsid w:val="00B37AEB"/>
    <w:rsid w:val="00B47CB0"/>
    <w:rsid w:val="00B53719"/>
    <w:rsid w:val="00B57396"/>
    <w:rsid w:val="00B6343E"/>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E2EEC"/>
    <w:rsid w:val="00BE45BF"/>
    <w:rsid w:val="00BE5804"/>
    <w:rsid w:val="00BE60CB"/>
    <w:rsid w:val="00BF479D"/>
    <w:rsid w:val="00BF6991"/>
    <w:rsid w:val="00C0254A"/>
    <w:rsid w:val="00C02C19"/>
    <w:rsid w:val="00C06760"/>
    <w:rsid w:val="00C12121"/>
    <w:rsid w:val="00C12198"/>
    <w:rsid w:val="00C17FD7"/>
    <w:rsid w:val="00C20316"/>
    <w:rsid w:val="00C3740D"/>
    <w:rsid w:val="00C4317A"/>
    <w:rsid w:val="00C433F9"/>
    <w:rsid w:val="00C45A59"/>
    <w:rsid w:val="00C601EF"/>
    <w:rsid w:val="00C663C0"/>
    <w:rsid w:val="00C84F2A"/>
    <w:rsid w:val="00C92115"/>
    <w:rsid w:val="00C9451C"/>
    <w:rsid w:val="00CA0EEC"/>
    <w:rsid w:val="00CA2762"/>
    <w:rsid w:val="00CC129B"/>
    <w:rsid w:val="00CC5C5B"/>
    <w:rsid w:val="00CD6289"/>
    <w:rsid w:val="00CD744C"/>
    <w:rsid w:val="00CE544F"/>
    <w:rsid w:val="00CF1B29"/>
    <w:rsid w:val="00D04B57"/>
    <w:rsid w:val="00D10E29"/>
    <w:rsid w:val="00D148C4"/>
    <w:rsid w:val="00D21A47"/>
    <w:rsid w:val="00D30BC8"/>
    <w:rsid w:val="00D339F2"/>
    <w:rsid w:val="00D34A48"/>
    <w:rsid w:val="00D40E7C"/>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0D31"/>
    <w:rsid w:val="00DC17D6"/>
    <w:rsid w:val="00DC42EE"/>
    <w:rsid w:val="00DF215F"/>
    <w:rsid w:val="00DF247C"/>
    <w:rsid w:val="00DF2C54"/>
    <w:rsid w:val="00DF7E85"/>
    <w:rsid w:val="00E03AE0"/>
    <w:rsid w:val="00E14F9A"/>
    <w:rsid w:val="00E16C89"/>
    <w:rsid w:val="00E25D71"/>
    <w:rsid w:val="00E2745D"/>
    <w:rsid w:val="00E33168"/>
    <w:rsid w:val="00E37814"/>
    <w:rsid w:val="00E43F75"/>
    <w:rsid w:val="00E57A97"/>
    <w:rsid w:val="00E64DA6"/>
    <w:rsid w:val="00E733B2"/>
    <w:rsid w:val="00E7664F"/>
    <w:rsid w:val="00E772D8"/>
    <w:rsid w:val="00E77366"/>
    <w:rsid w:val="00E77E71"/>
    <w:rsid w:val="00E8181C"/>
    <w:rsid w:val="00E93D35"/>
    <w:rsid w:val="00E97ABA"/>
    <w:rsid w:val="00EA2D39"/>
    <w:rsid w:val="00EB7408"/>
    <w:rsid w:val="00EC520B"/>
    <w:rsid w:val="00EE0307"/>
    <w:rsid w:val="00EE2E3A"/>
    <w:rsid w:val="00EE5D5E"/>
    <w:rsid w:val="00EF7E3D"/>
    <w:rsid w:val="00F030EF"/>
    <w:rsid w:val="00F1722E"/>
    <w:rsid w:val="00F2220D"/>
    <w:rsid w:val="00F255DD"/>
    <w:rsid w:val="00F25FAE"/>
    <w:rsid w:val="00F34AC0"/>
    <w:rsid w:val="00F36C0F"/>
    <w:rsid w:val="00F43BF0"/>
    <w:rsid w:val="00F43C0C"/>
    <w:rsid w:val="00F4524D"/>
    <w:rsid w:val="00F55390"/>
    <w:rsid w:val="00F835DC"/>
    <w:rsid w:val="00F83B05"/>
    <w:rsid w:val="00F85F62"/>
    <w:rsid w:val="00F87B05"/>
    <w:rsid w:val="00FA03FD"/>
    <w:rsid w:val="00FA4878"/>
    <w:rsid w:val="00FB027A"/>
    <w:rsid w:val="00FB78F6"/>
    <w:rsid w:val="00FC05A8"/>
    <w:rsid w:val="00FD1266"/>
    <w:rsid w:val="00FD1591"/>
    <w:rsid w:val="00FD1B18"/>
    <w:rsid w:val="00FD24BF"/>
    <w:rsid w:val="00FD4EF8"/>
    <w:rsid w:val="00FF3BD1"/>
    <w:rsid w:val="00FF585B"/>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179B-00EA-4617-BA5C-64064CF1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19</Pages>
  <Words>9986</Words>
  <Characters>59916</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31</cp:revision>
  <cp:lastPrinted>2023-07-24T09:22:00Z</cp:lastPrinted>
  <dcterms:created xsi:type="dcterms:W3CDTF">2023-07-27T11:43:00Z</dcterms:created>
  <dcterms:modified xsi:type="dcterms:W3CDTF">2024-11-28T09:03:00Z</dcterms:modified>
</cp:coreProperties>
</file>