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435C5" w14:textId="4483A958" w:rsidR="008872AE" w:rsidRDefault="008872AE">
      <w:pPr>
        <w:rPr>
          <w:rFonts w:ascii="Open Sans" w:hAnsi="Open Sans" w:cs="Open Sans"/>
          <w:color w:val="666666"/>
          <w:sz w:val="21"/>
          <w:szCs w:val="21"/>
          <w:shd w:val="clear" w:color="auto" w:fill="FFFFFF"/>
        </w:rPr>
      </w:pPr>
      <w:r>
        <w:rPr>
          <w:b/>
          <w:noProof/>
        </w:rPr>
        <w:drawing>
          <wp:inline distT="0" distB="0" distL="0" distR="0" wp14:anchorId="7895ED13" wp14:editId="2AB4F7F3">
            <wp:extent cx="1621790" cy="5549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1790" cy="554990"/>
                    </a:xfrm>
                    <a:prstGeom prst="rect">
                      <a:avLst/>
                    </a:prstGeom>
                    <a:noFill/>
                  </pic:spPr>
                </pic:pic>
              </a:graphicData>
            </a:graphic>
          </wp:inline>
        </w:drawing>
      </w:r>
      <w:r>
        <w:rPr>
          <w:rFonts w:ascii="Open Sans" w:hAnsi="Open Sans" w:cs="Open Sans"/>
          <w:color w:val="666666"/>
          <w:sz w:val="21"/>
          <w:szCs w:val="21"/>
          <w:shd w:val="clear" w:color="auto" w:fill="FFFFFF"/>
        </w:rPr>
        <w:t xml:space="preserve">                                                               </w:t>
      </w:r>
      <w:r>
        <w:rPr>
          <w:rFonts w:asciiTheme="majorHAnsi" w:hAnsiTheme="majorHAnsi" w:cstheme="majorHAnsi"/>
          <w:b/>
          <w:noProof/>
          <w:sz w:val="28"/>
          <w:szCs w:val="28"/>
        </w:rPr>
        <w:drawing>
          <wp:inline distT="0" distB="0" distL="0" distR="0" wp14:anchorId="0A046F43" wp14:editId="672D0C18">
            <wp:extent cx="1109345" cy="768350"/>
            <wp:effectExtent l="0" t="0" r="0" b="0"/>
            <wp:docPr id="7042676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9345" cy="768350"/>
                    </a:xfrm>
                    <a:prstGeom prst="rect">
                      <a:avLst/>
                    </a:prstGeom>
                    <a:noFill/>
                  </pic:spPr>
                </pic:pic>
              </a:graphicData>
            </a:graphic>
          </wp:inline>
        </w:drawing>
      </w:r>
    </w:p>
    <w:p w14:paraId="15FA2932" w14:textId="04D33192" w:rsidR="008872AE" w:rsidRPr="00611D26" w:rsidRDefault="008872AE">
      <w:pPr>
        <w:rPr>
          <w:rFonts w:cstheme="minorHAnsi"/>
          <w:i/>
          <w:iCs/>
          <w:color w:val="666666"/>
          <w:shd w:val="clear" w:color="auto" w:fill="FFFFFF"/>
        </w:rPr>
      </w:pPr>
      <w:r>
        <w:rPr>
          <w:rFonts w:ascii="Open Sans" w:hAnsi="Open Sans" w:cs="Open Sans"/>
          <w:color w:val="666666"/>
          <w:sz w:val="21"/>
          <w:szCs w:val="21"/>
          <w:shd w:val="clear" w:color="auto" w:fill="FFFFFF"/>
        </w:rPr>
        <w:t xml:space="preserve">                                                                                                              </w:t>
      </w:r>
      <w:r>
        <w:rPr>
          <w:rFonts w:ascii="Open Sans" w:hAnsi="Open Sans" w:cs="Open Sans"/>
          <w:color w:val="666666"/>
          <w:sz w:val="21"/>
          <w:szCs w:val="21"/>
          <w:shd w:val="clear" w:color="auto" w:fill="FFFFFF"/>
        </w:rPr>
        <w:br/>
      </w:r>
      <w:r w:rsidRPr="00611D26">
        <w:rPr>
          <w:rFonts w:cstheme="minorHAnsi"/>
          <w:color w:val="666666"/>
          <w:shd w:val="clear" w:color="auto" w:fill="FFFFFF"/>
        </w:rPr>
        <w:t xml:space="preserve">                                                                                                            Rokietnica, dnia 22.08.2024r.</w:t>
      </w:r>
      <w:r w:rsidRPr="00611D26">
        <w:rPr>
          <w:rFonts w:cstheme="minorHAnsi"/>
          <w:color w:val="666666"/>
          <w:shd w:val="clear" w:color="auto" w:fill="FFFFFF"/>
        </w:rPr>
        <w:br/>
      </w:r>
      <w:r w:rsidRPr="00611D26">
        <w:rPr>
          <w:rFonts w:cstheme="minorHAnsi"/>
          <w:color w:val="666666"/>
          <w:shd w:val="clear" w:color="auto" w:fill="FFFFFF"/>
        </w:rPr>
        <w:br/>
      </w:r>
      <w:r w:rsidR="00564992" w:rsidRPr="00611D26">
        <w:rPr>
          <w:rFonts w:cstheme="minorHAnsi"/>
          <w:color w:val="666666"/>
          <w:shd w:val="clear" w:color="auto" w:fill="FFFFFF"/>
        </w:rPr>
        <w:t>ZP.271.11.2024</w:t>
      </w:r>
      <w:r w:rsidRPr="00611D26">
        <w:rPr>
          <w:rFonts w:cstheme="minorHAnsi"/>
          <w:color w:val="666666"/>
          <w:shd w:val="clear" w:color="auto" w:fill="FFFFFF"/>
        </w:rPr>
        <w:t xml:space="preserve">                                                                                </w:t>
      </w:r>
      <w:r w:rsidRPr="00611D26">
        <w:rPr>
          <w:rFonts w:cstheme="minorHAnsi"/>
          <w:i/>
          <w:iCs/>
          <w:color w:val="666666"/>
          <w:shd w:val="clear" w:color="auto" w:fill="FFFFFF"/>
        </w:rPr>
        <w:t>Do wszystkich uczestników</w:t>
      </w:r>
      <w:r w:rsidRPr="00611D26">
        <w:rPr>
          <w:rFonts w:cstheme="minorHAnsi"/>
          <w:i/>
          <w:iCs/>
          <w:color w:val="666666"/>
          <w:shd w:val="clear" w:color="auto" w:fill="FFFFFF"/>
        </w:rPr>
        <w:br/>
        <w:t xml:space="preserve">                                                                                                            postępowania</w:t>
      </w:r>
      <w:r w:rsidR="00564992" w:rsidRPr="00611D26">
        <w:rPr>
          <w:rFonts w:cstheme="minorHAnsi"/>
          <w:i/>
          <w:iCs/>
          <w:color w:val="666666"/>
          <w:shd w:val="clear" w:color="auto" w:fill="FFFFFF"/>
        </w:rPr>
        <w:br/>
      </w:r>
      <w:r w:rsidR="00935FC8" w:rsidRPr="00611D26">
        <w:rPr>
          <w:rFonts w:cstheme="minorHAnsi"/>
          <w:i/>
          <w:iCs/>
          <w:color w:val="666666"/>
          <w:shd w:val="clear" w:color="auto" w:fill="FFFFFF"/>
        </w:rPr>
        <w:br/>
        <w:t>Dotyczy postępowania o udzielenie zamówienia publicznego pn. Modernizacja oświetlenia ulicznego polegaj</w:t>
      </w:r>
      <w:r w:rsidR="00611D26" w:rsidRPr="00611D26">
        <w:rPr>
          <w:rFonts w:cstheme="minorHAnsi"/>
          <w:i/>
          <w:iCs/>
          <w:color w:val="666666"/>
          <w:shd w:val="clear" w:color="auto" w:fill="FFFFFF"/>
        </w:rPr>
        <w:t>ą</w:t>
      </w:r>
      <w:r w:rsidR="00935FC8" w:rsidRPr="00611D26">
        <w:rPr>
          <w:rFonts w:cstheme="minorHAnsi"/>
          <w:i/>
          <w:iCs/>
          <w:color w:val="666666"/>
          <w:shd w:val="clear" w:color="auto" w:fill="FFFFFF"/>
        </w:rPr>
        <w:t>ca na wymianie opraw oświetleniowych na terenie gminy Rokietnica.</w:t>
      </w:r>
    </w:p>
    <w:p w14:paraId="44A6DAB4" w14:textId="068571F1" w:rsidR="00611D26" w:rsidRDefault="00564992" w:rsidP="009C2EAA">
      <w:pPr>
        <w:jc w:val="both"/>
        <w:rPr>
          <w:rFonts w:cstheme="minorHAnsi"/>
          <w:color w:val="666666"/>
        </w:rPr>
      </w:pPr>
      <w:r w:rsidRPr="00611D26">
        <w:rPr>
          <w:rFonts w:cstheme="minorHAnsi"/>
          <w:color w:val="666666"/>
        </w:rPr>
        <w:t xml:space="preserve">Działając na podstawie art. 284 ust. 2 i 6 ustawy z dnia 11 września 2019r. Prawo zamówień publicznych Zamawiający </w:t>
      </w:r>
      <w:r w:rsidR="00192824">
        <w:rPr>
          <w:rFonts w:cstheme="minorHAnsi"/>
          <w:color w:val="666666"/>
        </w:rPr>
        <w:t xml:space="preserve">Gmina Rokietnica  </w:t>
      </w:r>
      <w:r w:rsidRPr="00611D26">
        <w:rPr>
          <w:rFonts w:cstheme="minorHAnsi"/>
          <w:color w:val="666666"/>
        </w:rPr>
        <w:t>udziela odpowiedzi na  zapytania do SWZ.</w:t>
      </w:r>
    </w:p>
    <w:p w14:paraId="20D68653" w14:textId="77777777" w:rsidR="00611D26" w:rsidRPr="00611D26" w:rsidRDefault="00564992" w:rsidP="009C2EAA">
      <w:pPr>
        <w:jc w:val="both"/>
        <w:rPr>
          <w:rFonts w:cstheme="minorHAnsi"/>
          <w:color w:val="666666"/>
          <w:u w:val="single"/>
        </w:rPr>
      </w:pPr>
      <w:r w:rsidRPr="00611D26">
        <w:rPr>
          <w:rFonts w:cstheme="minorHAnsi"/>
          <w:color w:val="666666"/>
        </w:rPr>
        <w:br/>
      </w:r>
      <w:r w:rsidRPr="00611D26">
        <w:rPr>
          <w:rFonts w:cstheme="minorHAnsi"/>
          <w:color w:val="666666"/>
          <w:u w:val="single"/>
        </w:rPr>
        <w:t>Pytanie z 19.08.2024r.</w:t>
      </w:r>
    </w:p>
    <w:p w14:paraId="0E404786" w14:textId="77777777" w:rsidR="00611D26" w:rsidRDefault="00032513" w:rsidP="009C2EAA">
      <w:pPr>
        <w:jc w:val="both"/>
        <w:rPr>
          <w:rFonts w:cstheme="minorHAnsi"/>
          <w:color w:val="666666"/>
          <w:shd w:val="clear" w:color="auto" w:fill="FFFFFF"/>
        </w:rPr>
      </w:pPr>
      <w:r w:rsidRPr="00611D26">
        <w:rPr>
          <w:rFonts w:cstheme="minorHAnsi"/>
          <w:color w:val="666666"/>
        </w:rPr>
        <w:br/>
      </w:r>
      <w:r w:rsidRPr="00611D26">
        <w:rPr>
          <w:rFonts w:cstheme="minorHAnsi"/>
          <w:color w:val="666666"/>
          <w:shd w:val="clear" w:color="auto" w:fill="FFFFFF"/>
        </w:rPr>
        <w:t>Brak jest opisów które uniemożliwiają przygotowania rzetelnej wyceny i Moje pytania :</w:t>
      </w:r>
      <w:r w:rsidRPr="00611D26">
        <w:rPr>
          <w:rFonts w:cstheme="minorHAnsi"/>
          <w:color w:val="666666"/>
        </w:rPr>
        <w:br/>
      </w:r>
      <w:r w:rsidRPr="00611D26">
        <w:rPr>
          <w:rFonts w:cstheme="minorHAnsi"/>
          <w:color w:val="666666"/>
        </w:rPr>
        <w:br/>
      </w:r>
      <w:r w:rsidRPr="00611D26">
        <w:rPr>
          <w:rFonts w:cstheme="minorHAnsi"/>
          <w:color w:val="666666"/>
          <w:shd w:val="clear" w:color="auto" w:fill="FFFFFF"/>
        </w:rPr>
        <w:t>.1 ) Czy realizowany inwestycja ma przyjęte obliczenia co do opraw Led zgodne z klasami oświetlenia dróg M2 ,M3, M6 które zapewnią bezpieczeństwo na drogach, dołączenie odpowiednich obliczeń fotometrycznych do zamówienia.</w:t>
      </w:r>
    </w:p>
    <w:p w14:paraId="7D6E5835" w14:textId="77777777" w:rsidR="00611D26" w:rsidRDefault="00032513" w:rsidP="009C2EAA">
      <w:pPr>
        <w:jc w:val="both"/>
        <w:rPr>
          <w:rFonts w:cstheme="minorHAnsi"/>
          <w:color w:val="666666"/>
          <w:shd w:val="clear" w:color="auto" w:fill="FFFFFF"/>
        </w:rPr>
      </w:pPr>
      <w:r w:rsidRPr="00611D26">
        <w:rPr>
          <w:rFonts w:cstheme="minorHAnsi"/>
          <w:color w:val="666666"/>
          <w:shd w:val="clear" w:color="auto" w:fill="FFFFFF"/>
        </w:rPr>
        <w:t>2) Proszę o dodanie do SIWZ więcej obowiązujących informacji i Norm na zamawiane i produkty w opisach, w które ma zastosowane średnica minimalna mocowanie oraz uchwyt mocujący lampę, a nie zostały podane , i czy wymiany słupów i wysokości słupów po zmianach w projekcie zostały zaznaczone.</w:t>
      </w:r>
      <w:r w:rsidRPr="00611D26">
        <w:rPr>
          <w:rFonts w:cstheme="minorHAnsi"/>
          <w:color w:val="666666"/>
        </w:rPr>
        <w:br/>
      </w:r>
      <w:r w:rsidRPr="00611D26">
        <w:rPr>
          <w:rFonts w:cstheme="minorHAnsi"/>
          <w:color w:val="666666"/>
        </w:rPr>
        <w:br/>
      </w:r>
      <w:r w:rsidRPr="00611D26">
        <w:rPr>
          <w:rFonts w:cstheme="minorHAnsi"/>
          <w:color w:val="666666"/>
          <w:shd w:val="clear" w:color="auto" w:fill="FFFFFF"/>
        </w:rPr>
        <w:t xml:space="preserve">3) Obowiązujące normy oświetlenia drogowego powinny zapewniać bezpieczeństwo osobom poruszającym się po nich, oraz swobodę poruszania się wszystkim uczestników ruchu. nowych norm: PN-EN 13201-2 :2016-03 . Czy powinny być zachowane prawo własności intelektualnej i przemysłowej co do Diody Led i innych nowych technologii i zastosowań świetlnych zastosowane w lampach Led, niniejszej zwalczaniu nieuczciwej konkurencji . Czy do analizy powinny służyły następujące akty prawne i dyrektywy EU i rozporządzenia oraz zgodnie z Ustawą 20 maj 2016 </w:t>
      </w:r>
      <w:proofErr w:type="spellStart"/>
      <w:r w:rsidRPr="00611D26">
        <w:rPr>
          <w:rFonts w:cstheme="minorHAnsi"/>
          <w:color w:val="666666"/>
          <w:shd w:val="clear" w:color="auto" w:fill="FFFFFF"/>
        </w:rPr>
        <w:t>poz</w:t>
      </w:r>
      <w:proofErr w:type="spellEnd"/>
      <w:r w:rsidRPr="00611D26">
        <w:rPr>
          <w:rFonts w:cstheme="minorHAnsi"/>
          <w:color w:val="666666"/>
          <w:shd w:val="clear" w:color="auto" w:fill="FFFFFF"/>
        </w:rPr>
        <w:t xml:space="preserve"> 831 Energetyczną o przeprowadzeniu audytu energetycznego zgodnie z , wynikający z art.4 ust.3 TUE oraz art.7 Konstytucji RP, obowiązek respektowania zasad prawa unijnego przy wykonywaniu kompetencji przewidzianych dla niego w ustawy Prawa własności intelektualnych, z zakresu własności przemysłowej.</w:t>
      </w:r>
      <w:r w:rsidRPr="00611D26">
        <w:rPr>
          <w:rFonts w:cstheme="minorHAnsi"/>
          <w:color w:val="666666"/>
        </w:rPr>
        <w:br/>
      </w:r>
      <w:r w:rsidRPr="00611D26">
        <w:rPr>
          <w:rFonts w:cstheme="minorHAnsi"/>
          <w:color w:val="666666"/>
        </w:rPr>
        <w:br/>
      </w:r>
      <w:r w:rsidRPr="00611D26">
        <w:rPr>
          <w:rFonts w:cstheme="minorHAnsi"/>
          <w:color w:val="666666"/>
          <w:shd w:val="clear" w:color="auto" w:fill="FFFFFF"/>
        </w:rPr>
        <w:t xml:space="preserve">4) Producent opraw oświetleniowych deklaruje zgodności z następującymi normami z zakresu bezpieczeństwa użytkowania: Obecnie, na terenie UE obowiązują normy bezpieczeństwa IEC oraz wymogi bezpieczeństwa PNEN 60061, PN-EN 60598, PN-EN 61347, EN 62031, PN-EN 62471, PN-EN 62560 i PN- EN 62663-1. Przepisy te są ujęte w licznych Rozporządzeniach i Dyrektywach UE, m.in. w sprawie urządzeń obrotu towarami wrażliwych i </w:t>
      </w:r>
      <w:proofErr w:type="spellStart"/>
      <w:r w:rsidRPr="00611D26">
        <w:rPr>
          <w:rFonts w:cstheme="minorHAnsi"/>
          <w:color w:val="666666"/>
          <w:shd w:val="clear" w:color="auto" w:fill="FFFFFF"/>
        </w:rPr>
        <w:t>bezpieczeństaw</w:t>
      </w:r>
      <w:proofErr w:type="spellEnd"/>
      <w:r w:rsidRPr="00611D26">
        <w:rPr>
          <w:rFonts w:cstheme="minorHAnsi"/>
          <w:color w:val="666666"/>
          <w:shd w:val="clear" w:color="auto" w:fill="FFFFFF"/>
        </w:rPr>
        <w:t xml:space="preserve"> technicznego i niskonapięciowych i kompatybilności elektromagnetycznej oraz w przepisach (</w:t>
      </w:r>
      <w:proofErr w:type="spellStart"/>
      <w:r w:rsidRPr="00611D26">
        <w:rPr>
          <w:rFonts w:cstheme="minorHAnsi"/>
          <w:color w:val="666666"/>
          <w:shd w:val="clear" w:color="auto" w:fill="FFFFFF"/>
        </w:rPr>
        <w:t>ekoprojekt</w:t>
      </w:r>
      <w:proofErr w:type="spellEnd"/>
      <w:r w:rsidRPr="00611D26">
        <w:rPr>
          <w:rFonts w:cstheme="minorHAnsi"/>
          <w:color w:val="666666"/>
          <w:shd w:val="clear" w:color="auto" w:fill="FFFFFF"/>
        </w:rPr>
        <w:t>). Gdzie warunkiem zapewniającym zgodność jest posiadanie znaku CE przez produkty LED odnoszą się do Europejskiej Bazy Danych Produktów dotyczących Etykietowania Energii.</w:t>
      </w:r>
    </w:p>
    <w:p w14:paraId="4394F6B9" w14:textId="77777777" w:rsidR="00611D26" w:rsidRDefault="00032513" w:rsidP="009C2EAA">
      <w:pPr>
        <w:jc w:val="both"/>
        <w:rPr>
          <w:rFonts w:cstheme="minorHAnsi"/>
          <w:color w:val="666666"/>
          <w:shd w:val="clear" w:color="auto" w:fill="FFFFFF"/>
        </w:rPr>
      </w:pPr>
      <w:r w:rsidRPr="00611D26">
        <w:rPr>
          <w:rFonts w:cstheme="minorHAnsi"/>
          <w:color w:val="666666"/>
          <w:shd w:val="clear" w:color="auto" w:fill="FFFFFF"/>
        </w:rPr>
        <w:t xml:space="preserve">5 ) Czy jest </w:t>
      </w:r>
      <w:proofErr w:type="spellStart"/>
      <w:r w:rsidRPr="00611D26">
        <w:rPr>
          <w:rFonts w:cstheme="minorHAnsi"/>
          <w:color w:val="666666"/>
          <w:shd w:val="clear" w:color="auto" w:fill="FFFFFF"/>
        </w:rPr>
        <w:t>okreslone</w:t>
      </w:r>
      <w:proofErr w:type="spellEnd"/>
      <w:r w:rsidRPr="00611D26">
        <w:rPr>
          <w:rFonts w:cstheme="minorHAnsi"/>
          <w:color w:val="666666"/>
          <w:shd w:val="clear" w:color="auto" w:fill="FFFFFF"/>
        </w:rPr>
        <w:t xml:space="preserve"> życia produktu finansowego i warunki dotyczące jego likwidacji określa się w umowie w sprawie gwarancji. W stosownych przypadkach w ramach produktu finansowego na poziomie operacji z zakresu finansowania lub inwestycji można przewidzieć możliwość wyjścia z </w:t>
      </w:r>
      <w:r w:rsidRPr="00611D26">
        <w:rPr>
          <w:rFonts w:cstheme="minorHAnsi"/>
          <w:color w:val="666666"/>
          <w:shd w:val="clear" w:color="auto" w:fill="FFFFFF"/>
        </w:rPr>
        <w:lastRenderedPageBreak/>
        <w:t>inwestycji lub zbycia ekspozycji przed końcem okresu życia inwestycji bazowych</w:t>
      </w:r>
      <w:r w:rsidRPr="00611D26">
        <w:rPr>
          <w:rFonts w:cstheme="minorHAnsi"/>
          <w:color w:val="666666"/>
        </w:rPr>
        <w:br/>
      </w:r>
      <w:r w:rsidRPr="00611D26">
        <w:rPr>
          <w:rFonts w:cstheme="minorHAnsi"/>
          <w:color w:val="666666"/>
        </w:rPr>
        <w:br/>
      </w:r>
      <w:r w:rsidRPr="00611D26">
        <w:rPr>
          <w:rFonts w:cstheme="minorHAnsi"/>
          <w:color w:val="666666"/>
          <w:shd w:val="clear" w:color="auto" w:fill="FFFFFF"/>
        </w:rPr>
        <w:t xml:space="preserve">6 ) Brak jest opisów ogólnych lampy i ich wielkości uchwytu i mocowania , jest niedopuszczalne podawanie nazw opraw , powinna być podana charakterystyka i normy minimum powyżej 110 lumenów 1W netto, według zamienników światła sodowego na Led, które mogą ukierunkować wykonawcę i inwestora jakie produkty przedstawić do rzetelnej przygotowanej wyceny dostosowując się do polityki klimatycznej z zachowaniem strategii niskoemisyjnej rozwoju. Oraz wskazanie jego badań i finansowania zgodnie z Rozporządzenie Parlamentu Europejskiego i Rady (UE, </w:t>
      </w:r>
      <w:proofErr w:type="spellStart"/>
      <w:r w:rsidRPr="00611D26">
        <w:rPr>
          <w:rFonts w:cstheme="minorHAnsi"/>
          <w:color w:val="666666"/>
          <w:shd w:val="clear" w:color="auto" w:fill="FFFFFF"/>
        </w:rPr>
        <w:t>Euratom</w:t>
      </w:r>
      <w:proofErr w:type="spellEnd"/>
      <w:r w:rsidRPr="00611D26">
        <w:rPr>
          <w:rFonts w:cstheme="minorHAnsi"/>
          <w:color w:val="666666"/>
          <w:shd w:val="clear" w:color="auto" w:fill="FFFFFF"/>
        </w:rPr>
        <w:t>) 2018/1046 z dnia 18 lipca 2018 r. w sprawie zasad finansowych mających zastosowanie do budżetu ogólnego Unii,</w:t>
      </w:r>
      <w:r w:rsidRPr="00611D26">
        <w:rPr>
          <w:rFonts w:cstheme="minorHAnsi"/>
          <w:color w:val="666666"/>
        </w:rPr>
        <w:br/>
      </w:r>
      <w:r w:rsidRPr="00611D26">
        <w:rPr>
          <w:rFonts w:cstheme="minorHAnsi"/>
          <w:color w:val="666666"/>
        </w:rPr>
        <w:br/>
      </w:r>
      <w:r w:rsidRPr="00611D26">
        <w:rPr>
          <w:rFonts w:cstheme="minorHAnsi"/>
          <w:color w:val="666666"/>
          <w:shd w:val="clear" w:color="auto" w:fill="FFFFFF"/>
        </w:rPr>
        <w:t xml:space="preserve">7) Jaki jest cel segmentu zrównoważonej infrastruktury jest wspieranie operacji z zakresu finansowania i inwestycji w zrównoważoną infrastrukturę w dziedzinach, o których mowa w art. 8 ust. 1 lit. a) rozporządzenia w sprawie </w:t>
      </w:r>
      <w:proofErr w:type="spellStart"/>
      <w:r w:rsidRPr="00611D26">
        <w:rPr>
          <w:rFonts w:cstheme="minorHAnsi"/>
          <w:color w:val="666666"/>
          <w:shd w:val="clear" w:color="auto" w:fill="FFFFFF"/>
        </w:rPr>
        <w:t>InvestEU</w:t>
      </w:r>
      <w:proofErr w:type="spellEnd"/>
      <w:r w:rsidRPr="00611D26">
        <w:rPr>
          <w:rFonts w:cstheme="minorHAnsi"/>
          <w:color w:val="666666"/>
          <w:shd w:val="clear" w:color="auto" w:fill="FFFFFF"/>
        </w:rPr>
        <w:t xml:space="preserve">. Nie naruszając przepisów dotyczących działań wyłączonych (sekcja 2.3.3 niniejszych wytycznych inwestycyjnych) oraz zasad przydziału w ramach Funduszu </w:t>
      </w:r>
      <w:proofErr w:type="spellStart"/>
      <w:r w:rsidRPr="00611D26">
        <w:rPr>
          <w:rFonts w:cstheme="minorHAnsi"/>
          <w:color w:val="666666"/>
          <w:shd w:val="clear" w:color="auto" w:fill="FFFFFF"/>
        </w:rPr>
        <w:t>InvestEU</w:t>
      </w:r>
      <w:proofErr w:type="spellEnd"/>
      <w:r w:rsidRPr="00611D26">
        <w:rPr>
          <w:rFonts w:cstheme="minorHAnsi"/>
          <w:color w:val="666666"/>
          <w:shd w:val="clear" w:color="auto" w:fill="FFFFFF"/>
        </w:rPr>
        <w:t xml:space="preserve"> określonych w sekcji 2.6, każdy właściwy obszar związany ze zrównoważoną infrastrukturą wymieniony w załączniku II do rozporządzenia w sprawie </w:t>
      </w:r>
      <w:proofErr w:type="spellStart"/>
      <w:r w:rsidRPr="00611D26">
        <w:rPr>
          <w:rFonts w:cstheme="minorHAnsi"/>
          <w:color w:val="666666"/>
          <w:shd w:val="clear" w:color="auto" w:fill="FFFFFF"/>
        </w:rPr>
        <w:t>InvestEU</w:t>
      </w:r>
      <w:proofErr w:type="spellEnd"/>
      <w:r w:rsidRPr="00611D26">
        <w:rPr>
          <w:rFonts w:cstheme="minorHAnsi"/>
          <w:color w:val="666666"/>
          <w:shd w:val="clear" w:color="auto" w:fill="FFFFFF"/>
        </w:rPr>
        <w:t xml:space="preserve"> kwalifikuje się do wsparcia w ramach segmentu polityki dotyczącego zrównoważonej infrastruktury</w:t>
      </w:r>
      <w:r w:rsidR="00611D26">
        <w:rPr>
          <w:rFonts w:cstheme="minorHAnsi"/>
          <w:color w:val="666666"/>
          <w:shd w:val="clear" w:color="auto" w:fill="FFFFFF"/>
        </w:rPr>
        <w:t>.</w:t>
      </w:r>
    </w:p>
    <w:p w14:paraId="78CBE854" w14:textId="10CCBB12" w:rsidR="00611D26" w:rsidRDefault="00032513" w:rsidP="009C2EAA">
      <w:pPr>
        <w:jc w:val="both"/>
        <w:rPr>
          <w:rFonts w:cstheme="minorHAnsi"/>
          <w:color w:val="666666"/>
          <w:shd w:val="clear" w:color="auto" w:fill="FFFFFF"/>
        </w:rPr>
      </w:pPr>
      <w:r w:rsidRPr="00611D26">
        <w:rPr>
          <w:rFonts w:cstheme="minorHAnsi"/>
          <w:color w:val="666666"/>
          <w:shd w:val="clear" w:color="auto" w:fill="FFFFFF"/>
        </w:rPr>
        <w:t>8) Czy wszystkie oprawy LED powinny spełniać niezbędne wytyczne zarówno co do sprzętu jak i jego znakowania. Niniejsza informacja zawiera wytyczne dotyczące zasad klasyfikacji sprzętu elektrycznego i ustawą. Zgodnie z ustawą z dnia 20 maja 2016 o efektywności energetycznej . Wsparcie w ramach efektywności energetycznej i oszczędności energii będzie obejmować projekty zgodne z zobowiązaniami Unii podjętymi w ramach Agendy 2030 i porozumienia paryskiego oraz przyczyniać się do realizacji celów określonych w dyrektywie 2012/27/UE ( 63) (ograniczenie zapotrzebowania na energię za pomocą środków służących oszczędzaniu energii oraz zarządzania popytem, stosowanie zasad gospodarki o obiegu zamkniętym, wspieranie systemu ciepłowniczego i produkcji energii w projektach kogeneracji, które ograniczają zużycie energii oraz zapobiegają emisji gazów cieplarnianych i innych zanieczyszczeń). Wsparcie będzie obejmować projekty zgodne z inicjatywą „Fala renowacji” ( 64), w szczególności z trzema obszarami, na których inicjatywa ta się koncentruje: rozwiązanie problemu ubóstwa energetycznego i budynków o najgorszej charakterystyce energetycznej; renowacja budynków publicznych, takich jak placówki administracyjne, edukacyjne i opieki zdrowotnej, oraz obniżenie emisyjności ogrzewania i chłodzenia. Należy wspierać projekty modernizujące systemy ogrzewania i chłodzenia budynków, ponieważ mają one zasadnicze znaczenie dla dekarbonizacji zasobów budowlanych w UE. Wykorzystanie lokalnego potencjału energii odnawialnej ma również kluczowe znaczenie dla zmniejszenia zależności UE od importowanych paliw kopalnych. Wsparcie to będzie obejmować także renowację istniejących budynków pod kątem efektywności energetyczne przykładowo :Temperatura barwowa emitowanego światła 4000k (+/-100K) o Współczynnik oddawania barw RA większy lub równy 70 o Panel LED . Wyposażony w grupę soczewek kształtujących rozsyłu światła o charakterze drogowym, która nie oślepia kierowcy i nie powoduje odbicia światła od jezdni . Każda dioda na panelu LED posiada indywidualny element optyczny o takiej samej charakterystyce. W przepisach przewidziany jest układ redukcji mocy , który powinien być stosowany według przepisów w lampach oświetleniowych, ma umożliwiać płynne nastawienie kilku progów natężenia oświetlenia świetlnego w zakresie co najmniej od 100 -30 % strumienia nominalnego * Jaka powinna być Temperatura pracy w zakresie -40 + 50 stopni</w:t>
      </w:r>
      <w:r w:rsidR="00611D26">
        <w:rPr>
          <w:rFonts w:cstheme="minorHAnsi"/>
          <w:color w:val="666666"/>
          <w:shd w:val="clear" w:color="auto" w:fill="FFFFFF"/>
        </w:rPr>
        <w:t>.</w:t>
      </w:r>
    </w:p>
    <w:p w14:paraId="4218049A" w14:textId="3B079FEF" w:rsidR="00BD06F8" w:rsidRPr="00611D26" w:rsidRDefault="00032513" w:rsidP="009C2EAA">
      <w:pPr>
        <w:jc w:val="both"/>
        <w:rPr>
          <w:rFonts w:cstheme="minorHAnsi"/>
          <w:color w:val="666666"/>
          <w:shd w:val="clear" w:color="auto" w:fill="FFFFFF"/>
        </w:rPr>
      </w:pPr>
      <w:r w:rsidRPr="00611D26">
        <w:rPr>
          <w:rFonts w:cstheme="minorHAnsi"/>
          <w:color w:val="666666"/>
          <w:shd w:val="clear" w:color="auto" w:fill="FFFFFF"/>
        </w:rPr>
        <w:t xml:space="preserve">9) . Jak jest przewidziany rozwój zrównoważonej infrastruktur y transport owej oraz tworzenie rozwiązań w zakresie urządzeń i innowacyjnych technologii Wsparcie w ramach rozwoju zrównoważonej infrastruktury transportowej oraz tworzenia rozwiązań w zakresie urządzeń i innowacyjnych technologii będzie ukierunkowywane na rozwój zrównoważonej i bezpiecznej infrastruktury transportowej, </w:t>
      </w:r>
      <w:proofErr w:type="spellStart"/>
      <w:r w:rsidRPr="00611D26">
        <w:rPr>
          <w:rFonts w:cstheme="minorHAnsi"/>
          <w:color w:val="666666"/>
          <w:shd w:val="clear" w:color="auto" w:fill="FFFFFF"/>
        </w:rPr>
        <w:t>suprastruktur</w:t>
      </w:r>
      <w:proofErr w:type="spellEnd"/>
      <w:r w:rsidRPr="00611D26">
        <w:rPr>
          <w:rFonts w:cstheme="minorHAnsi"/>
          <w:color w:val="666666"/>
          <w:shd w:val="clear" w:color="auto" w:fill="FFFFFF"/>
        </w:rPr>
        <w:t xml:space="preserve">, rozwiązań i sprzętu służących mobilności, a także innowacyjnych technologii, zgodnie z priorytetami Unii w zakresie transportu, strategią na rzecz zrównoważonej i inteligentnej mobilności ( 69) oraz z zobowiązaniami podjętymi na mocy </w:t>
      </w:r>
      <w:r w:rsidRPr="00611D26">
        <w:rPr>
          <w:rFonts w:cstheme="minorHAnsi"/>
          <w:color w:val="666666"/>
          <w:shd w:val="clear" w:color="auto" w:fill="FFFFFF"/>
        </w:rPr>
        <w:lastRenderedPageBreak/>
        <w:t>porozumienia paryskiego. Wsparcie to będzie obejmować projekty wspierające rozwój infrastruktury transeuropejskiej sieci transportowej („TEN-T”), remonty i modernizację istniejącej infrastruktury i komponentów poziomu połączeń międzysystemowych we wszystkich rodzajach transportu</w:t>
      </w:r>
    </w:p>
    <w:p w14:paraId="5A1AE639" w14:textId="2E8F5803" w:rsidR="009C2EAA" w:rsidRPr="00611D26" w:rsidRDefault="00032513" w:rsidP="009C2EAA">
      <w:pPr>
        <w:jc w:val="both"/>
        <w:rPr>
          <w:rFonts w:cstheme="minorHAnsi"/>
        </w:rPr>
      </w:pPr>
      <w:r w:rsidRPr="00611D26">
        <w:rPr>
          <w:rFonts w:cstheme="minorHAnsi"/>
          <w:color w:val="666666"/>
          <w:shd w:val="clear" w:color="auto" w:fill="FFFFFF"/>
        </w:rPr>
        <w:t xml:space="preserve">10 ) Czy wspieranie rozwoju zrównoważonej i bezpiecznej infrastruktury łączności cyfrowej musi koncentrować się na projektach wspierających szeroki zakres produktów i usług w dziedzinie komunikacji i technologii informacyjnej. Takie wsparcie może obejmować na przykład projekty wspierające uniwersalne (tj. obejmujące obszary wiejskie/peryferyjne) uruchamianie infrastruktury, wdrażanie cyfrowych sieci o bardzo dużej przepustowości, w tym poprzez wdrażanie przewodowych i bezprzewodowych systemów łączności, m.in. systemów światłowodowych i systemów łączności 5G, oraz inwestycje niezbędne w celu osiągnięcia unijnych strategicznych celów łączności cyfrowej zdefiniowanych w komunikacie „Łączność dla konkurencyjnego jednolitego rynku cyfrowego . </w:t>
      </w:r>
      <w:proofErr w:type="spellStart"/>
      <w:r w:rsidRPr="00611D26">
        <w:rPr>
          <w:rFonts w:cstheme="minorHAnsi"/>
          <w:color w:val="666666"/>
          <w:shd w:val="clear" w:color="auto" w:fill="FFFFFF"/>
        </w:rPr>
        <w:t>arcie</w:t>
      </w:r>
      <w:proofErr w:type="spellEnd"/>
      <w:r w:rsidRPr="00611D26">
        <w:rPr>
          <w:rFonts w:cstheme="minorHAnsi"/>
          <w:color w:val="666666"/>
          <w:shd w:val="clear" w:color="auto" w:fill="FFFFFF"/>
        </w:rPr>
        <w:t xml:space="preserve"> to będzie ukierunkowane także na projekty mające na celu zwiększenie zdolności i odporności unijnych sieci (np. zabezpieczonych kwantowo sieci komunikacyjnych, międzyregionalnej i międzynarodowej łączności, m.in. za pomocą kabli lądowych i podmorskich, systemów satelitarnych, ośrodków przetwarzania danych oraz sieci ochrony publicznej i pomocy w przypadku klęsk żywiołowych) oraz wspieranie transformacji cyfrowej najważniejszych usług publicznych.</w:t>
      </w:r>
      <w:r w:rsidRPr="00611D26">
        <w:rPr>
          <w:rFonts w:cstheme="minorHAnsi"/>
          <w:color w:val="666666"/>
        </w:rPr>
        <w:br/>
      </w:r>
      <w:r w:rsidR="00564992" w:rsidRPr="00611D26">
        <w:rPr>
          <w:rFonts w:cstheme="minorHAnsi"/>
          <w:color w:val="666666"/>
          <w:u w:val="single"/>
        </w:rPr>
        <w:t>Odpowiedź:</w:t>
      </w:r>
      <w:r w:rsidR="00564992" w:rsidRPr="00611D26">
        <w:rPr>
          <w:rFonts w:cstheme="minorHAnsi"/>
          <w:color w:val="666666"/>
          <w:u w:val="single"/>
        </w:rPr>
        <w:br/>
      </w:r>
      <w:r w:rsidR="009C2EAA" w:rsidRPr="00611D26">
        <w:rPr>
          <w:rFonts w:cstheme="minorHAnsi"/>
        </w:rPr>
        <w:t xml:space="preserve">Zamawiający wskazuje, że w załączonych materiałach przetargowych (opis przedmiotu zamówienia, projekt techniczny oraz kosztorys) są zawarte wszystkie informacje niezbędne do wykonania wyceny zamówienia i złożenia oferty. </w:t>
      </w:r>
    </w:p>
    <w:p w14:paraId="3884B99B" w14:textId="7ECD2ECA" w:rsidR="00611D26" w:rsidRDefault="00564992" w:rsidP="00611D26">
      <w:pPr>
        <w:jc w:val="both"/>
        <w:rPr>
          <w:rFonts w:cstheme="minorHAnsi"/>
          <w:color w:val="666666"/>
          <w:u w:val="single"/>
        </w:rPr>
      </w:pPr>
      <w:r w:rsidRPr="00611D26">
        <w:rPr>
          <w:rFonts w:cstheme="minorHAnsi"/>
          <w:color w:val="666666"/>
        </w:rPr>
        <w:br/>
      </w:r>
      <w:r w:rsidR="009C2EAA" w:rsidRPr="00611D26">
        <w:rPr>
          <w:rFonts w:cstheme="minorHAnsi"/>
          <w:color w:val="666666"/>
          <w:u w:val="single"/>
        </w:rPr>
        <w:t>Pytanie 2</w:t>
      </w:r>
      <w:r w:rsidR="00611D26">
        <w:rPr>
          <w:rFonts w:cstheme="minorHAnsi"/>
          <w:color w:val="666666"/>
          <w:u w:val="single"/>
        </w:rPr>
        <w:t xml:space="preserve"> z </w:t>
      </w:r>
      <w:r w:rsidR="00FA4A90">
        <w:rPr>
          <w:rFonts w:cstheme="minorHAnsi"/>
          <w:color w:val="666666"/>
          <w:u w:val="single"/>
        </w:rPr>
        <w:t>19</w:t>
      </w:r>
      <w:r w:rsidR="00611D26">
        <w:rPr>
          <w:rFonts w:cstheme="minorHAnsi"/>
          <w:color w:val="666666"/>
          <w:u w:val="single"/>
        </w:rPr>
        <w:t>.08.2024</w:t>
      </w:r>
    </w:p>
    <w:p w14:paraId="578BB338" w14:textId="4B4A3090" w:rsidR="00BD06F8" w:rsidRPr="00611D26" w:rsidRDefault="00611D26" w:rsidP="00611D26">
      <w:pPr>
        <w:jc w:val="both"/>
        <w:rPr>
          <w:rFonts w:cstheme="minorHAnsi"/>
        </w:rPr>
      </w:pPr>
      <w:r>
        <w:rPr>
          <w:rFonts w:cstheme="minorHAnsi"/>
        </w:rPr>
        <w:t>W</w:t>
      </w:r>
      <w:r w:rsidR="00032513" w:rsidRPr="00611D26">
        <w:rPr>
          <w:rFonts w:cstheme="minorHAnsi"/>
        </w:rPr>
        <w:t xml:space="preserve"> związku z ogłoszeniem niniejszego postępowania przetargowego, poniżej przedstawiamy nasze zapytania do SWZ, prosząc o udzielenie odpowiedzi i ewentualne dokonanie zmian w SWZ. </w:t>
      </w:r>
      <w:r w:rsidR="009C2EAA" w:rsidRPr="00611D26">
        <w:rPr>
          <w:rFonts w:cstheme="minorHAnsi"/>
        </w:rPr>
        <w:br/>
      </w:r>
      <w:r w:rsidR="00032513" w:rsidRPr="00611D26">
        <w:rPr>
          <w:rFonts w:cstheme="minorHAnsi"/>
        </w:rPr>
        <w:t>1. Prosimy o potwierdzenie, że Zamawiający celem weryfikacji spełnienia wymagań specyfikacji zawartej w przetargu wymaga złożenia dodatkowych przedmiotowych środków dowodowych w postaci: - Kart katalogowych (na potwierdzenie m. in. wymaganych parametrów technicznych przez zamawiającego) - Certyfikatu ENEC+ ofertowanych opraw (na potwierdzenie m.in., że oferowane oprawy są produkowane na terenie UE) - Certyfikatu ENEC oferowanych opraw (na potwierdzenie m.in., że oferowane oprawy są produkowane na terenie UE) - Deklaracji CE - Certyfikatu ZHAGA D4i - Obliczeń fotometrycznych Powyższe dokumenty gwarantują, że zaoferowane produkty spełniają podstawowe normy i dzięki temu są bezpieczne dla użytkowników i instalatorów oraz, że parametry deklarowane przez producenta są zgodne z rzeczywistością, jak również potwierdzają, że wykonawca oferuje produkt spełniający oczekiwania</w:t>
      </w:r>
      <w:r>
        <w:rPr>
          <w:rFonts w:cstheme="minorHAnsi"/>
        </w:rPr>
        <w:t xml:space="preserve"> Zamawiającego.</w:t>
      </w:r>
    </w:p>
    <w:p w14:paraId="14F0E556" w14:textId="41ACEC40" w:rsidR="00BA401B" w:rsidRPr="00611D26" w:rsidRDefault="00BD06F8" w:rsidP="00E52883">
      <w:pPr>
        <w:rPr>
          <w:rFonts w:cstheme="minorHAnsi"/>
          <w:b/>
          <w:bCs/>
        </w:rPr>
      </w:pPr>
      <w:r w:rsidRPr="00611D26">
        <w:rPr>
          <w:rFonts w:cstheme="minorHAnsi"/>
          <w:b/>
          <w:bCs/>
          <w:u w:val="single"/>
        </w:rPr>
        <w:t>Odpowiedź</w:t>
      </w:r>
      <w:r w:rsidRPr="00611D26">
        <w:rPr>
          <w:rFonts w:cstheme="minorHAnsi"/>
          <w:b/>
          <w:bCs/>
          <w:u w:val="single"/>
        </w:rPr>
        <w:br/>
      </w:r>
      <w:r w:rsidRPr="00611D26">
        <w:rPr>
          <w:rFonts w:cstheme="minorHAnsi"/>
        </w:rPr>
        <w:t>Zamawiający nie przewiduje  złożenia</w:t>
      </w:r>
      <w:r w:rsidR="00611D26">
        <w:rPr>
          <w:rFonts w:cstheme="minorHAnsi"/>
        </w:rPr>
        <w:t xml:space="preserve"> wraz z ofertą  </w:t>
      </w:r>
      <w:r w:rsidRPr="00611D26">
        <w:rPr>
          <w:rFonts w:cstheme="minorHAnsi"/>
        </w:rPr>
        <w:t>przedmiotowych środków dowodowych</w:t>
      </w:r>
      <w:r w:rsidR="00611D26">
        <w:rPr>
          <w:rFonts w:cstheme="minorHAnsi"/>
        </w:rPr>
        <w:t>.</w:t>
      </w:r>
      <w:r w:rsidRPr="00611D26">
        <w:rPr>
          <w:rFonts w:cstheme="minorHAnsi"/>
        </w:rPr>
        <w:t xml:space="preserve"> Wykonawca będzie miał obowiązek załączyć wymagane w zapisach umowy (stanowiącej załącznik do SWZ ) oraz wymagane regulaminem programu „Rozświetlamy Polskę” dokumenty przed podpisaniem umowy.  </w:t>
      </w:r>
      <w:r w:rsidR="00935FC8" w:rsidRPr="00611D26">
        <w:rPr>
          <w:rFonts w:cstheme="minorHAnsi"/>
        </w:rPr>
        <w:br/>
      </w:r>
      <w:r w:rsidRPr="00611D26">
        <w:rPr>
          <w:rFonts w:cstheme="minorHAnsi"/>
        </w:rPr>
        <w:t xml:space="preserve">W związku z tym działając na podstawie art. 286 ust.1 </w:t>
      </w:r>
      <w:r w:rsidR="00E52883" w:rsidRPr="00611D26">
        <w:rPr>
          <w:rFonts w:cstheme="minorHAnsi"/>
        </w:rPr>
        <w:t xml:space="preserve">ustawy Zamawiający zmienia zapis par.7 ust. 13 </w:t>
      </w:r>
      <w:r w:rsidR="00935FC8" w:rsidRPr="00611D26">
        <w:rPr>
          <w:rFonts w:cstheme="minorHAnsi"/>
        </w:rPr>
        <w:t xml:space="preserve">wzoru umowy </w:t>
      </w:r>
      <w:r w:rsidR="00E52883" w:rsidRPr="00611D26">
        <w:rPr>
          <w:rFonts w:cstheme="minorHAnsi"/>
        </w:rPr>
        <w:t>nadając mu brzmienie:</w:t>
      </w:r>
      <w:r w:rsidR="00E52883" w:rsidRPr="00611D26">
        <w:rPr>
          <w:rFonts w:cstheme="minorHAnsi"/>
        </w:rPr>
        <w:br/>
        <w:t xml:space="preserve"> „ …. Do  obowiązków Wykonawcy należy przekazanie Zamawiającemu przed podpisaniem umowy  kart katalogowych, certyfikatów, deklaracji , obliczeń i wyników z ogólnodostępnego programu np. </w:t>
      </w:r>
      <w:proofErr w:type="spellStart"/>
      <w:r w:rsidR="00E52883" w:rsidRPr="00611D26">
        <w:rPr>
          <w:rFonts w:cstheme="minorHAnsi"/>
        </w:rPr>
        <w:t>Dialux</w:t>
      </w:r>
      <w:proofErr w:type="spellEnd"/>
      <w:r w:rsidR="00E52883" w:rsidRPr="00611D26">
        <w:rPr>
          <w:rFonts w:cstheme="minorHAnsi"/>
        </w:rPr>
        <w:t xml:space="preserve">  Zamawiającemu.</w:t>
      </w:r>
      <w:r w:rsidR="00E52883" w:rsidRPr="00611D26">
        <w:rPr>
          <w:rFonts w:cstheme="minorHAnsi"/>
          <w:b/>
          <w:bCs/>
        </w:rPr>
        <w:br/>
      </w:r>
      <w:r w:rsidR="00E52883" w:rsidRPr="00611D26">
        <w:rPr>
          <w:rFonts w:cstheme="minorHAnsi"/>
          <w:b/>
          <w:bCs/>
        </w:rPr>
        <w:br/>
      </w:r>
      <w:r w:rsidR="00E52883" w:rsidRPr="00611D26">
        <w:rPr>
          <w:rFonts w:cstheme="minorHAnsi"/>
          <w:b/>
          <w:bCs/>
          <w:u w:val="single"/>
        </w:rPr>
        <w:t>Pytanie 3</w:t>
      </w:r>
      <w:r w:rsidR="00611D26">
        <w:rPr>
          <w:rFonts w:cstheme="minorHAnsi"/>
          <w:b/>
          <w:bCs/>
          <w:u w:val="single"/>
        </w:rPr>
        <w:t xml:space="preserve"> z 20.08.2024r.</w:t>
      </w:r>
      <w:r w:rsidR="00E52883" w:rsidRPr="00611D26">
        <w:rPr>
          <w:rFonts w:cstheme="minorHAnsi"/>
          <w:b/>
          <w:bCs/>
          <w:u w:val="single"/>
        </w:rPr>
        <w:br/>
      </w:r>
      <w:r w:rsidR="00935FC8" w:rsidRPr="00611D26">
        <w:rPr>
          <w:rFonts w:cstheme="minorHAnsi"/>
          <w:color w:val="666666"/>
          <w:shd w:val="clear" w:color="auto" w:fill="FFFFFF"/>
        </w:rPr>
        <w:t xml:space="preserve">Inwestor wymaga wykonanie obliczeń fotometrycznych. "Dobierając oprawy dla konkretnych ulic należy wykonać obliczenia sprawdzające w programie ogólnodostępnym np. </w:t>
      </w:r>
      <w:proofErr w:type="spellStart"/>
      <w:r w:rsidR="00935FC8" w:rsidRPr="00611D26">
        <w:rPr>
          <w:rFonts w:cstheme="minorHAnsi"/>
          <w:color w:val="666666"/>
          <w:shd w:val="clear" w:color="auto" w:fill="FFFFFF"/>
        </w:rPr>
        <w:t>Dialux</w:t>
      </w:r>
      <w:proofErr w:type="spellEnd"/>
      <w:r w:rsidR="00935FC8" w:rsidRPr="00611D26">
        <w:rPr>
          <w:rFonts w:cstheme="minorHAnsi"/>
          <w:color w:val="666666"/>
          <w:shd w:val="clear" w:color="auto" w:fill="FFFFFF"/>
        </w:rPr>
        <w:t xml:space="preserve"> w celu weryfikacji z wymaganiami oświetleniowymi. Wykonawca będzie miał obowiązek załączyć karty katalogowe, </w:t>
      </w:r>
      <w:r w:rsidR="00935FC8" w:rsidRPr="00611D26">
        <w:rPr>
          <w:rFonts w:cstheme="minorHAnsi"/>
          <w:color w:val="666666"/>
          <w:shd w:val="clear" w:color="auto" w:fill="FFFFFF"/>
        </w:rPr>
        <w:lastRenderedPageBreak/>
        <w:t xml:space="preserve">obliczenia i wyniki z programu </w:t>
      </w:r>
      <w:proofErr w:type="spellStart"/>
      <w:r w:rsidR="00935FC8" w:rsidRPr="00611D26">
        <w:rPr>
          <w:rFonts w:cstheme="minorHAnsi"/>
          <w:color w:val="666666"/>
          <w:shd w:val="clear" w:color="auto" w:fill="FFFFFF"/>
        </w:rPr>
        <w:t>Dialux</w:t>
      </w:r>
      <w:proofErr w:type="spellEnd"/>
      <w:r w:rsidR="00935FC8" w:rsidRPr="00611D26">
        <w:rPr>
          <w:rFonts w:cstheme="minorHAnsi"/>
          <w:color w:val="666666"/>
          <w:shd w:val="clear" w:color="auto" w:fill="FFFFFF"/>
        </w:rPr>
        <w:t xml:space="preserve"> inwestorowi / inspektorowi nadzoru do zatwierdzenia"</w:t>
      </w:r>
      <w:r w:rsidR="00935FC8" w:rsidRPr="00611D26">
        <w:rPr>
          <w:rFonts w:cstheme="minorHAnsi"/>
          <w:color w:val="666666"/>
        </w:rPr>
        <w:br/>
      </w:r>
      <w:r w:rsidR="00935FC8" w:rsidRPr="00611D26">
        <w:rPr>
          <w:rFonts w:cstheme="minorHAnsi"/>
          <w:color w:val="666666"/>
          <w:shd w:val="clear" w:color="auto" w:fill="FFFFFF"/>
        </w:rPr>
        <w:t>Proszę o udostępnienie wszystkich materiałów na podstawie których będzie możliwe wykonanie obliczeń (projekt, obliczeń fotometrycznych wzorcowych). Inwestor zamieścił tylko na parę odcinków, stąd na etapie przetargu nie ma możliwości wykonania obliczeń na każdy odcinek.</w:t>
      </w:r>
    </w:p>
    <w:p w14:paraId="769AEEC5" w14:textId="5BAB027A" w:rsidR="00E52883" w:rsidRPr="00611D26" w:rsidRDefault="00E52883" w:rsidP="00E52883">
      <w:pPr>
        <w:jc w:val="both"/>
        <w:rPr>
          <w:rFonts w:cstheme="minorHAnsi"/>
        </w:rPr>
      </w:pPr>
      <w:r w:rsidRPr="00611D26">
        <w:rPr>
          <w:rFonts w:cstheme="minorHAnsi"/>
          <w:b/>
          <w:bCs/>
          <w:u w:val="single"/>
        </w:rPr>
        <w:t>Odpowiedź:</w:t>
      </w:r>
      <w:r w:rsidRPr="00611D26">
        <w:rPr>
          <w:rFonts w:cstheme="minorHAnsi"/>
          <w:b/>
          <w:bCs/>
        </w:rPr>
        <w:br/>
      </w:r>
      <w:r w:rsidRPr="00611D26">
        <w:rPr>
          <w:rFonts w:cstheme="minorHAnsi"/>
        </w:rPr>
        <w:t>Na etapie składania ofert Wykonawca nie ma obowiązku składania obliczeń fotometrycznych. Przedłożenie obliczeń fotometrycznych będzie wymagane przed podpisaniem umowy wraz z kartami katalogowymi, certyfikatami, deklaracjami</w:t>
      </w:r>
      <w:r w:rsidRPr="00611D26">
        <w:rPr>
          <w:rFonts w:cstheme="minorHAnsi"/>
          <w:color w:val="FF0000"/>
        </w:rPr>
        <w:t xml:space="preserve">. </w:t>
      </w:r>
      <w:r w:rsidRPr="00611D26">
        <w:rPr>
          <w:rFonts w:cstheme="minorHAnsi"/>
        </w:rPr>
        <w:t xml:space="preserve">Informujemy , że dane wyjściowe do obliczeń znajdują się </w:t>
      </w:r>
      <w:r w:rsidRPr="00611D26">
        <w:rPr>
          <w:rFonts w:cstheme="minorHAnsi"/>
        </w:rPr>
        <w:br/>
        <w:t xml:space="preserve">w projekcie technicznym. </w:t>
      </w:r>
    </w:p>
    <w:p w14:paraId="702E9145" w14:textId="125F10AD" w:rsidR="00E52883" w:rsidRPr="00611D26" w:rsidRDefault="00611D26" w:rsidP="00E52883">
      <w:pPr>
        <w:rPr>
          <w:rFonts w:cstheme="minorHAnsi"/>
        </w:rPr>
      </w:pPr>
      <w:r>
        <w:rPr>
          <w:rFonts w:cstheme="minorHAnsi"/>
          <w:b/>
          <w:bCs/>
        </w:rPr>
        <w:t xml:space="preserve">                                                                                                                                    </w:t>
      </w:r>
      <w:r w:rsidRPr="00611D26">
        <w:rPr>
          <w:rFonts w:cstheme="minorHAnsi"/>
        </w:rPr>
        <w:t>Z poważaniem,</w:t>
      </w:r>
      <w:r w:rsidR="00192824">
        <w:rPr>
          <w:rFonts w:cstheme="minorHAnsi"/>
        </w:rPr>
        <w:br/>
        <w:t xml:space="preserve">                                                                                                                                        Wójt Gminy</w:t>
      </w:r>
      <w:r w:rsidR="00192824">
        <w:rPr>
          <w:rFonts w:cstheme="minorHAnsi"/>
        </w:rPr>
        <w:br/>
        <w:t xml:space="preserve">                                                                                                                                        ROKIETNICA</w:t>
      </w:r>
      <w:r w:rsidR="00192824">
        <w:rPr>
          <w:rFonts w:cstheme="minorHAnsi"/>
        </w:rPr>
        <w:br/>
        <w:t xml:space="preserve">                                                                                                                                       Bartosz </w:t>
      </w:r>
      <w:proofErr w:type="spellStart"/>
      <w:r w:rsidR="00192824">
        <w:rPr>
          <w:rFonts w:cstheme="minorHAnsi"/>
        </w:rPr>
        <w:t>Derech</w:t>
      </w:r>
      <w:proofErr w:type="spellEnd"/>
    </w:p>
    <w:sectPr w:rsidR="00E52883" w:rsidRPr="00611D26" w:rsidSect="00611D2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13"/>
    <w:rsid w:val="00032513"/>
    <w:rsid w:val="00192824"/>
    <w:rsid w:val="00205FE6"/>
    <w:rsid w:val="00361CB1"/>
    <w:rsid w:val="00564992"/>
    <w:rsid w:val="00611D26"/>
    <w:rsid w:val="00850D87"/>
    <w:rsid w:val="008872AE"/>
    <w:rsid w:val="00931926"/>
    <w:rsid w:val="00935FC8"/>
    <w:rsid w:val="009A3399"/>
    <w:rsid w:val="009C2EAA"/>
    <w:rsid w:val="00BA401B"/>
    <w:rsid w:val="00BD06F8"/>
    <w:rsid w:val="00C95AED"/>
    <w:rsid w:val="00DB758A"/>
    <w:rsid w:val="00E52883"/>
    <w:rsid w:val="00FA4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D612"/>
  <w15:chartTrackingRefBased/>
  <w15:docId w15:val="{4B1FFCC6-08F1-4457-BEEF-743D5002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1833</Words>
  <Characters>10998</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ROKIETNICA</dc:creator>
  <cp:keywords/>
  <dc:description/>
  <cp:lastModifiedBy>GMINA ROKIETNICA</cp:lastModifiedBy>
  <cp:revision>5</cp:revision>
  <dcterms:created xsi:type="dcterms:W3CDTF">2024-08-19T15:59:00Z</dcterms:created>
  <dcterms:modified xsi:type="dcterms:W3CDTF">2024-08-22T13:11:00Z</dcterms:modified>
</cp:coreProperties>
</file>