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0" w:rsidRPr="00763870" w:rsidRDefault="00763870" w:rsidP="00763870">
      <w:r w:rsidRPr="00763870">
        <w:t xml:space="preserve">Dotyczy: </w:t>
      </w:r>
      <w:r w:rsidR="008F213A">
        <w:tab/>
      </w:r>
      <w:r w:rsidRPr="00763870">
        <w:t>Dostawa skanera rezonansu magnetycznego 3T</w:t>
      </w:r>
      <w:r w:rsidR="008F213A">
        <w:t xml:space="preserve"> dla potrzeb Gdańskiego Uniwersytetu Medycznego</w:t>
      </w:r>
    </w:p>
    <w:p w:rsidR="00763870" w:rsidRDefault="00763870" w:rsidP="00DE54E8">
      <w:pPr>
        <w:jc w:val="center"/>
        <w:rPr>
          <w:b/>
        </w:rPr>
      </w:pPr>
    </w:p>
    <w:p w:rsidR="005430DB" w:rsidRDefault="005430DB" w:rsidP="00DE54E8">
      <w:pPr>
        <w:jc w:val="center"/>
        <w:rPr>
          <w:b/>
        </w:rPr>
      </w:pPr>
    </w:p>
    <w:p w:rsidR="008E4608" w:rsidRDefault="00DE54E8" w:rsidP="00DE54E8">
      <w:pPr>
        <w:jc w:val="center"/>
        <w:rPr>
          <w:b/>
        </w:rPr>
      </w:pPr>
      <w:r w:rsidRPr="00DE54E8">
        <w:rPr>
          <w:b/>
        </w:rPr>
        <w:t>OPIS PRZEDMIOTU ZAMÓWIENIA</w:t>
      </w:r>
    </w:p>
    <w:p w:rsidR="008E4608" w:rsidRDefault="00493CC8" w:rsidP="00493CC8">
      <w:pPr>
        <w:rPr>
          <w:b/>
          <w:color w:val="00B050"/>
        </w:rPr>
      </w:pPr>
      <w:r w:rsidRPr="003C3EC9">
        <w:rPr>
          <w:b/>
          <w:color w:val="00B050"/>
        </w:rPr>
        <w:t xml:space="preserve">MODYFIKACJA Z DNIA 17.08.2020 r. </w:t>
      </w:r>
    </w:p>
    <w:p w:rsidR="00A31653" w:rsidRPr="00A31653" w:rsidRDefault="00A31653" w:rsidP="00493CC8">
      <w:pPr>
        <w:rPr>
          <w:b/>
          <w:color w:val="00B0F0"/>
        </w:rPr>
      </w:pPr>
      <w:r w:rsidRPr="00A31653">
        <w:rPr>
          <w:b/>
          <w:color w:val="00B0F0"/>
        </w:rPr>
        <w:t>MODYFIKACJA Z DNIA 19.08.2020 r.</w:t>
      </w:r>
    </w:p>
    <w:p w:rsidR="00B17D7B" w:rsidRDefault="00B17D7B"/>
    <w:tbl>
      <w:tblPr>
        <w:tblW w:w="137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124"/>
        <w:gridCol w:w="2269"/>
        <w:gridCol w:w="2283"/>
      </w:tblGrid>
      <w:tr w:rsidR="00B17D7B">
        <w:trPr>
          <w:trHeight w:val="340"/>
          <w:tblHeader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L. p.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Opis parametru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Parametr oferowany</w:t>
            </w: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</w:rPr>
              <w:t>1. CERTYFIKATY I DOKUMENTY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Certyfikat CE (podać nr certyfikatu), oznakowanie znakiem CE - jeśli dotyczy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Powiadomienie/ zgłoszenie/ przeniesienie wysłane do Prezesa Urzędu Rejestracji Produktów Leczniczych, Wyrobów Medycznych i Produktów Biobójczych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Producent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Kraj pochodzenia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9401C7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Urządzenie</w:t>
            </w:r>
            <w:r w:rsidR="004C71DC" w:rsidRPr="002F5F84">
              <w:rPr>
                <w:color w:val="auto"/>
              </w:rPr>
              <w:t>:</w:t>
            </w:r>
            <w:r w:rsidRPr="002F5F84">
              <w:rPr>
                <w:color w:val="auto"/>
              </w:rPr>
              <w:t xml:space="preserve"> </w:t>
            </w:r>
            <w:r w:rsidR="004C71DC" w:rsidRPr="002F5F84">
              <w:rPr>
                <w:color w:val="auto"/>
              </w:rPr>
              <w:t xml:space="preserve">typ, </w:t>
            </w:r>
            <w:r w:rsidRPr="002F5F84">
              <w:rPr>
                <w:color w:val="auto"/>
              </w:rPr>
              <w:t>model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4C71DC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Aparat nowy,</w:t>
            </w:r>
            <w:r w:rsidR="00B8391B">
              <w:rPr>
                <w:color w:val="auto"/>
              </w:rPr>
              <w:t xml:space="preserve"> </w:t>
            </w:r>
            <w:r w:rsidRPr="002F5F84">
              <w:rPr>
                <w:color w:val="auto"/>
              </w:rPr>
              <w:t>nie starszy niż wyprodukowany w 2020, lub pochodzący z bieżącej produkcji.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2. MAGNES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Indukcja pola magnetycznego B</w:t>
            </w:r>
            <w:r>
              <w:rPr>
                <w:vertAlign w:val="subscript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3 T;</w:t>
            </w:r>
          </w:p>
          <w:p w:rsidR="00B17D7B" w:rsidRDefault="009401C7">
            <w:pPr>
              <w:spacing w:before="40" w:after="40"/>
            </w:pPr>
            <w:r>
              <w:t>podać wartość [T]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Zamknięty system chłodzenia magnesu ciekłym helem w technologii „zero-</w:t>
            </w:r>
            <w:proofErr w:type="spellStart"/>
            <w:r>
              <w:t>boil</w:t>
            </w:r>
            <w:proofErr w:type="spellEnd"/>
            <w:r>
              <w:t>-off”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Zużycie helu przy typowej pracy klinicznej z wyłączeniem ubytków przy pracach serwisowych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0,01l/godz.;</w:t>
            </w:r>
          </w:p>
          <w:p w:rsidR="00B17D7B" w:rsidRDefault="009401C7">
            <w:pPr>
              <w:spacing w:before="40" w:after="40"/>
            </w:pPr>
            <w:r>
              <w:t>podać wartość [l/rok]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Aktywne ekranowanie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płaszczyźnie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3,0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osi z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5,5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małej kuli o średnicy 10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0,02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2.8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30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0,15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 xml:space="preserve">]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40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0,37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50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2,4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 w:rsidRPr="00C41353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Sprzętowa korekta homogeniczności pola wyższego rzędu, po wprowadzeniu do magnesu pacjenta i cewek odbiorczych – technologia High Order </w:t>
            </w:r>
            <w:proofErr w:type="spellStart"/>
            <w:r>
              <w:t>Shim</w:t>
            </w:r>
            <w:proofErr w:type="spellEnd"/>
            <w:r>
              <w:t>, Advanced 2</w:t>
            </w:r>
            <w:r>
              <w:rPr>
                <w:vertAlign w:val="superscript"/>
              </w:rPr>
              <w:t>nd</w:t>
            </w:r>
            <w:r>
              <w:t xml:space="preserve"> Order </w:t>
            </w:r>
            <w:proofErr w:type="spellStart"/>
            <w:r>
              <w:t>Shim</w:t>
            </w:r>
            <w:proofErr w:type="spellEnd"/>
            <w:r>
              <w:t xml:space="preserve">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  <w:r>
              <w:br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C41353" w:rsidRPr="003C3EC9" w:rsidRDefault="00C41353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2</w:t>
            </w:r>
            <w:r w:rsidRPr="003C3EC9">
              <w:rPr>
                <w:color w:val="00B050"/>
                <w:vertAlign w:val="superscript"/>
              </w:rPr>
              <w:t>nd</w:t>
            </w:r>
            <w:r w:rsidRPr="003C3EC9">
              <w:rPr>
                <w:color w:val="00B050"/>
              </w:rPr>
              <w:t xml:space="preserve"> Order </w:t>
            </w:r>
            <w:proofErr w:type="spellStart"/>
            <w:r w:rsidRPr="003C3EC9">
              <w:rPr>
                <w:color w:val="00B050"/>
              </w:rPr>
              <w:t>Shim</w:t>
            </w:r>
            <w:proofErr w:type="spellEnd"/>
            <w:r w:rsidRPr="003C3EC9">
              <w:rPr>
                <w:color w:val="00B050"/>
              </w:rPr>
              <w:t xml:space="preserve"> – 0pkt</w:t>
            </w:r>
          </w:p>
          <w:p w:rsidR="00C41353" w:rsidRPr="00C41353" w:rsidRDefault="00C41353">
            <w:pPr>
              <w:spacing w:before="40" w:after="40"/>
              <w:rPr>
                <w:strike/>
                <w:lang w:val="en-US"/>
              </w:rPr>
            </w:pPr>
            <w:r w:rsidRPr="003C3EC9">
              <w:rPr>
                <w:color w:val="00B050"/>
                <w:lang w:val="en-US"/>
              </w:rPr>
              <w:t>3</w:t>
            </w:r>
            <w:r w:rsidRPr="003C3EC9">
              <w:rPr>
                <w:color w:val="00B050"/>
                <w:vertAlign w:val="superscript"/>
                <w:lang w:val="en-US"/>
              </w:rPr>
              <w:t>rd</w:t>
            </w:r>
            <w:r w:rsidRPr="003C3EC9">
              <w:rPr>
                <w:color w:val="00B050"/>
                <w:lang w:val="en-US"/>
              </w:rPr>
              <w:t xml:space="preserve"> Order Shim</w:t>
            </w:r>
            <w:r w:rsidR="00CA6F36" w:rsidRPr="003C3EC9">
              <w:rPr>
                <w:color w:val="00B050"/>
                <w:lang w:val="en-US"/>
              </w:rPr>
              <w:t xml:space="preserve"> -5 </w:t>
            </w:r>
            <w:proofErr w:type="spellStart"/>
            <w:r w:rsidRPr="003C3EC9">
              <w:rPr>
                <w:color w:val="00B050"/>
                <w:lang w:val="en-US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Gwarantowana warto</w:t>
            </w:r>
            <w:r>
              <w:rPr>
                <w:rFonts w:eastAsia="TimesNewRoman"/>
                <w:color w:val="000000" w:themeColor="text1"/>
              </w:rPr>
              <w:t xml:space="preserve">ść </w:t>
            </w:r>
            <w:r>
              <w:rPr>
                <w:color w:val="000000" w:themeColor="text1"/>
              </w:rPr>
              <w:t>krótkotrwałych zmian jednorodno</w:t>
            </w:r>
            <w:r>
              <w:rPr>
                <w:rFonts w:eastAsia="TimesNewRoman"/>
                <w:color w:val="000000" w:themeColor="text1"/>
              </w:rPr>
              <w:t>ś</w:t>
            </w:r>
            <w:r>
              <w:rPr>
                <w:color w:val="000000" w:themeColor="text1"/>
              </w:rPr>
              <w:t>ci pola magnetycznego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rFonts w:eastAsia="TimesNewRoman"/>
                <w:color w:val="000000" w:themeColor="text1"/>
              </w:rPr>
              <w:t>≤ 0,1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ppm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godz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/</w:t>
            </w:r>
            <w:proofErr w:type="spellStart"/>
            <w:r>
              <w:t>godz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color w:val="000000" w:themeColor="text1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3.       SYSTEM GRADIENTOWY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Maksymalna amplituda gradientów w każdej osi dla max </w:t>
            </w:r>
            <w:proofErr w:type="spellStart"/>
            <w:r>
              <w:t>FoV</w:t>
            </w:r>
            <w:proofErr w:type="spellEnd"/>
            <w:r>
              <w:t xml:space="preserve"> (gradient nie efektywny)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60 </w:t>
            </w:r>
            <w:proofErr w:type="spellStart"/>
            <w:r>
              <w:t>mT</w:t>
            </w:r>
            <w:proofErr w:type="spellEnd"/>
            <w:r>
              <w:t>/m;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mT</w:t>
            </w:r>
            <w:proofErr w:type="spellEnd"/>
            <w:r>
              <w:t>/m]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10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Maksymalna szybkość narastania gradientów (</w:t>
            </w:r>
            <w:proofErr w:type="spellStart"/>
            <w:r>
              <w:rPr>
                <w:rFonts w:ascii="Times New Roman" w:hAnsi="Times New Roman"/>
                <w:sz w:val="20"/>
              </w:rPr>
              <w:t>slew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</w:rPr>
              <w:t>) w każdej osi, dla amplitudy podanej w pkt. 2.1.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T/m/s;</w:t>
            </w:r>
          </w:p>
          <w:p w:rsidR="00B17D7B" w:rsidRDefault="009401C7">
            <w:pPr>
              <w:spacing w:before="40" w:after="40"/>
            </w:pPr>
            <w:r>
              <w:t>podać wartość [T/m/s]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Wartości podane w pkt. 2.1. i 2.2. uzyskiwane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4.     SYSTEM RF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nadawczy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4.1.1.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Moc wyjściowa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≥ 30 kW;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podać wartość [kW]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Wartość największa – 2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Wartość najmniejsza – 0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 xml:space="preserve">Pozostałe – </w:t>
            </w:r>
            <w:r w:rsidRPr="003C3EC9">
              <w:rPr>
                <w:strike/>
                <w:color w:val="00B050"/>
              </w:rPr>
              <w:lastRenderedPageBreak/>
              <w:t>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strike/>
                <w:color w:val="FF000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4.1.2.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nadawczy sygnału MR wyposażony w technologię wielokanałowej transmisji dla optymalizacji jednorodności pola B</w:t>
            </w:r>
            <w:r>
              <w:rPr>
                <w:vertAlign w:val="subscript"/>
              </w:rPr>
              <w:t>1</w:t>
            </w:r>
            <w:r>
              <w:t xml:space="preserve"> – technologia </w:t>
            </w:r>
            <w:proofErr w:type="spellStart"/>
            <w:r>
              <w:t>MultiTransmit</w:t>
            </w:r>
            <w:proofErr w:type="spellEnd"/>
            <w:r>
              <w:t xml:space="preserve">, </w:t>
            </w:r>
            <w:proofErr w:type="spellStart"/>
            <w:r>
              <w:t>MultiDrive</w:t>
            </w:r>
            <w:proofErr w:type="spellEnd"/>
            <w:r>
              <w:t xml:space="preserve">, </w:t>
            </w:r>
            <w:proofErr w:type="spellStart"/>
            <w:r>
              <w:t>TimTX</w:t>
            </w:r>
            <w:proofErr w:type="spellEnd"/>
            <w:r>
              <w:t xml:space="preserve"> </w:t>
            </w:r>
            <w:proofErr w:type="spellStart"/>
            <w:r>
              <w:t>TrueForm</w:t>
            </w:r>
            <w:proofErr w:type="spellEnd"/>
            <w:r>
              <w:t>,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 technologii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4.1.3.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Tor nadawczy sygnału MR pomiędzy maszynownią a pomieszczeniem badań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Tak/Nie;</w:t>
            </w:r>
          </w:p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Tak – 2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strike/>
                <w:color w:val="FF000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odbiorczy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eastAsia="ja-JP"/>
              </w:rPr>
            </w:pPr>
            <w:r>
              <w:t xml:space="preserve">Maksymalna liczba kanałów (elementów odbiorczych wykorzystywanych w maksymalnym obszarze badania, z </w:t>
            </w:r>
            <w:r>
              <w:rPr>
                <w:lang w:eastAsia="ja-JP"/>
              </w:rPr>
              <w:t xml:space="preserve">przesuwem stołu pacjenta) </w:t>
            </w:r>
            <w:r>
              <w:t>≥ 146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146;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 6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9401C7">
            <w:pPr>
              <w:snapToGrid w:val="0"/>
              <w:spacing w:before="40" w:after="40"/>
            </w:pPr>
            <w:r>
              <w:t xml:space="preserve">Maksymalna liczba rzeczywistych niezależnych równoległych cyfrowych kanałów odbiorczych (odbiornika) z pełną ścieżką cyfrową (przedwzmacniacz, przetwornik analogowo-cyfrowy, wejście w rekonstruktorze) ≥ </w:t>
            </w:r>
            <w:r w:rsidRPr="00B0413F">
              <w:rPr>
                <w:b/>
                <w:strike/>
                <w:color w:val="00B0F0"/>
              </w:rPr>
              <w:t>64</w:t>
            </w:r>
            <w:r w:rsidR="00A31653" w:rsidRPr="00B0413F">
              <w:rPr>
                <w:b/>
                <w:color w:val="00B0F0"/>
              </w:rPr>
              <w:t>128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 w:rsidRPr="001C12E4">
              <w:rPr>
                <w:strike/>
                <w:color w:val="FF0000"/>
              </w:rPr>
              <w:t>64</w:t>
            </w:r>
            <w:r>
              <w:t>;</w:t>
            </w:r>
            <w:r w:rsidR="001C12E4" w:rsidRPr="001C12E4">
              <w:rPr>
                <w:color w:val="FF0000"/>
              </w:rPr>
              <w:t>128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</w:t>
            </w:r>
            <w:r w:rsidRPr="00C41353">
              <w:rPr>
                <w:strike/>
                <w:color w:val="FF0000"/>
              </w:rPr>
              <w:t xml:space="preserve"> 6</w:t>
            </w:r>
            <w:r w:rsidRPr="00C41353">
              <w:rPr>
                <w:color w:val="FF0000"/>
              </w:rPr>
              <w:t xml:space="preserve"> </w:t>
            </w:r>
            <w:r w:rsidR="00C41353" w:rsidRPr="00C41353">
              <w:rPr>
                <w:color w:val="FF0000"/>
              </w:rPr>
              <w:t>10</w:t>
            </w:r>
            <w:r w:rsidR="00CA6F36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Dynamika odbiornika, z automatyczną kontrolą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≥ 160 </w:t>
            </w:r>
            <w:proofErr w:type="spellStart"/>
            <w:r>
              <w:t>dB</w:t>
            </w:r>
            <w:proofErr w:type="spellEnd"/>
            <w:r>
              <w:t>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Rozdzielczość odbiornika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16 bit;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[bit]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Szerokość pasma przenoszenia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 MHz;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[MHz]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odbiorczy sygnału MR pomiędzy pomieszczeniem badań a maszynownią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5.         CEWKI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Tekstdymka"/>
              <w:snapToGri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nadawczo-odbiorcza </w:t>
            </w:r>
            <w:r>
              <w:rPr>
                <w:b/>
                <w:bCs/>
              </w:rPr>
              <w:t>ogólnego przeznaczenia</w:t>
            </w:r>
            <w:r>
              <w:t xml:space="preserve"> zabudowana w tunelu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badań głowy i szyi</w:t>
            </w:r>
            <w:r>
              <w:t xml:space="preserve"> z możliwością zmiany kąt ułożenia głowy pacjenta w przynajmniej 3 </w:t>
            </w:r>
            <w:r>
              <w:lastRenderedPageBreak/>
              <w:t xml:space="preserve">pozycjach, posiadająca w badanym obszarze min. 20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podać nazwę cewki i </w:t>
            </w:r>
            <w:r>
              <w:lastRenderedPageBreak/>
              <w:t>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 xml:space="preserve">Cewka wyposażona w zintegrowany dodatkowy </w:t>
            </w:r>
            <w:r>
              <w:lastRenderedPageBreak/>
              <w:t>element służący do redukcji lokalnych niejednorodności pola B0 w obszarze szyjnym, spowodowanych obecnością pacjenta w aparacie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 w:rsidP="001C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zaawansowanych badań w obszarze głowy</w:t>
            </w:r>
            <w:r>
              <w:t xml:space="preserve"> posiadająca min. 48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kręgosłupa</w:t>
            </w:r>
            <w:r>
              <w:t xml:space="preserve">, z automatycznym przesuwem stołu pacjenta sterowanym automatycznie z protokołu badania, bez repozycjonowania pacjenta i przekładania lub przełączania cewek, posiadająca min. 32 elementy obrazujące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 xml:space="preserve">Najmniejsza liczba elementów obrazujących </w:t>
            </w:r>
            <w:r>
              <w:t>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centralnego układu nerwowego</w:t>
            </w:r>
            <w:r>
              <w:t xml:space="preserve"> (głowa i cały kręgosłup), z automatycznym przesuwem stołu pacjenta sterowanym automatycznie z protokołu badania, bez repozycjonowania pacjenta i przekładania lub przełączania cewek, posiadająca min. 50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tułowia</w:t>
            </w:r>
            <w:r>
              <w:t xml:space="preserve"> w zakresie min. 60 cm w osi Z (klatka piersiowa, jama brzuszna, miednica), z automatycznym przesuwem stołu pacjenta, sterowanym automatycznie z protokołu badania, bez repozycjonowania pacjenta i przekładania lub przełączania cewek, posiadająca w badanym </w:t>
            </w:r>
            <w:r>
              <w:lastRenderedPageBreak/>
              <w:t xml:space="preserve">obszarze min. 36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lastRenderedPageBreak/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Najmniejsza liczba elementów obrazujących </w:t>
            </w:r>
            <w:r>
              <w:rPr>
                <w:color w:val="000000" w:themeColor="text1"/>
              </w:rPr>
              <w:lastRenderedPageBreak/>
              <w:t>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</w:rPr>
              <w:t>do badań obu całych kończyn dolnych</w:t>
            </w:r>
            <w:r>
              <w:t xml:space="preserve">, z przesuwem stołu pacjenta, sterowanym automatycznie z protokołu badania, bez repozycjonowania pacjenta i przekładania lub przełączania cewek, dedykowana do badań tego obszaru anatomicznego z podstawką zmniejszającą nacisk na kończyny dolne oraz o długości min. 85cm, posiadająca w badanym obszarze min. 30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 podać nazwę cewki oraz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90313E" w:rsidRPr="003C3EC9" w:rsidRDefault="0090313E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Największa długość cewki – 3 pkt.</w:t>
            </w:r>
          </w:p>
          <w:p w:rsidR="0090313E" w:rsidRPr="003C3EC9" w:rsidRDefault="0090313E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Najmniejsza długość cewki – 0 pkt</w:t>
            </w:r>
          </w:p>
          <w:p w:rsidR="0090313E" w:rsidRPr="003C3EC9" w:rsidRDefault="0090313E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B17D7B">
            <w:pPr>
              <w:spacing w:before="40" w:after="40"/>
              <w:rPr>
                <w:color w:val="00B05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ciała</w:t>
            </w:r>
            <w:r>
              <w:t xml:space="preserve"> z przesuwem stołu pacjenta, sterowanym automatycznie z protokołu badania, bez repozycjonowania pacjenta i przekładania lub przełączania cewek, posiadająca w badanym obszarze min. 100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przeznaczona </w:t>
            </w:r>
            <w:r>
              <w:rPr>
                <w:b/>
                <w:bCs/>
              </w:rPr>
              <w:t>do badań mammograficznych diagnostycznych</w:t>
            </w:r>
            <w:r>
              <w:t xml:space="preserve">, posiadająca w badanym obszarze min. 16 elementów obrazujących (kanałów odbiorczych)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Tak.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sztywna z elastycznymi końcówkami przeznaczona </w:t>
            </w:r>
            <w:r>
              <w:rPr>
                <w:b/>
                <w:bCs/>
              </w:rPr>
              <w:t>do badań barku</w:t>
            </w:r>
            <w:r>
              <w:t xml:space="preserve">, posiadająca w badanym obszarze min. 16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Cewka </w:t>
            </w:r>
            <w:r w:rsidR="00624572">
              <w:t xml:space="preserve">sztywna </w:t>
            </w:r>
            <w:r>
              <w:t xml:space="preserve">z możliwą  zmienną geometrią 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sztywna, przeznaczona </w:t>
            </w:r>
            <w:r>
              <w:rPr>
                <w:b/>
                <w:bCs/>
              </w:rPr>
              <w:t>do badań stawu kolanowego</w:t>
            </w:r>
            <w:r>
              <w:t xml:space="preserve">, posiadająca w badanym obszarze min. 18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nadgarstka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stawu skokowego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Zestaw minimum dwóch elastycznych cewek </w:t>
            </w:r>
            <w:proofErr w:type="spellStart"/>
            <w:r>
              <w:t>płachtowych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do zastosowań uniwersalnych</w:t>
            </w:r>
            <w:r>
              <w:t xml:space="preserve">, każda w różnym rozmiarze, każda posiadająca w badanym obszarze min. 16 elementów obrazujących jednocześnie, każda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nazwy cewek, liczbę elementów obrazujących [n] oraz wymiary każdej z nich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C41353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C41353">
            <w:pPr>
              <w:snapToGrid w:val="0"/>
              <w:spacing w:before="40" w:after="40"/>
            </w:pPr>
            <w:r>
              <w:t>5.15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C41353" w:rsidP="00A563C9">
            <w:pPr>
              <w:snapToGrid w:val="0"/>
              <w:spacing w:before="40" w:after="40"/>
            </w:pPr>
            <w:r>
              <w:t xml:space="preserve">Cewka </w:t>
            </w:r>
            <w:r w:rsidR="00A563C9">
              <w:t>elastyczna (typu AIR lub zgodnie z nomenklaturą producenta), posiadająca wymiar 50x50cm i co najmniej 30 elementów. Cewka pozwalająca na wykonanie badania przez (360 stopni) owinięcie cewki wokół badanej kończyny.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A563C9">
            <w:pPr>
              <w:snapToGrid w:val="0"/>
              <w:spacing w:before="40" w:after="40"/>
            </w:pPr>
            <w:r>
              <w:t>Tak/Nie</w:t>
            </w:r>
          </w:p>
          <w:p w:rsidR="00A563C9" w:rsidRDefault="00A563C9">
            <w:pPr>
              <w:snapToGrid w:val="0"/>
              <w:spacing w:before="40" w:after="40"/>
            </w:pPr>
            <w:r>
              <w:t>Jeżeli Tak,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41353" w:rsidRDefault="00A563C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 – 3 pkt</w:t>
            </w:r>
          </w:p>
          <w:p w:rsidR="00A563C9" w:rsidRDefault="00A563C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41353" w:rsidRDefault="00C41353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6. POZYCJONOWANIE I NADZÓR PACJENTA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Stół pacjenta odłączany w pełni autonomiczny, tj. pozwalający na przygotowanie pacjentów do badania poza pracownią i/lub ewakuację w sytuacjach krytycznych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Stół odłączany w pełni zmotoryzowany </w:t>
            </w:r>
            <w:proofErr w:type="spellStart"/>
            <w:r>
              <w:t>eDrive</w:t>
            </w:r>
            <w:proofErr w:type="spellEnd"/>
            <w:r>
              <w:t xml:space="preserve"> lub wg. nazwy producenta – 2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Obciążenie płyty stołu, łącznie z ruchem pionowym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250 kg;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[kg]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krokowym przesuwem stołu pacjenta,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ciągłym (nie krokowym) przesuwem stołu pacjenta podczas akwizycji danych,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1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Zakres badania bez konieczności repozycjonowania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cm;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System monitorowania pacjenta (EKG, puls) – dla wypracowania sygnałów synchronizujących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C585D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System monitorowania oddechu wbudowany w cewkę do badania kręgosłupa </w:t>
            </w:r>
            <w:r w:rsidR="001C585D">
              <w:rPr>
                <w:lang w:eastAsia="ja-JP"/>
              </w:rPr>
              <w:t xml:space="preserve">- </w:t>
            </w:r>
            <w:r>
              <w:rPr>
                <w:lang w:eastAsia="ja-JP"/>
              </w:rPr>
              <w:t>możliwość uzyskania krzywej oddech</w:t>
            </w:r>
            <w:r w:rsidR="001C585D">
              <w:rPr>
                <w:lang w:eastAsia="ja-JP"/>
              </w:rPr>
              <w:t>owej przed rozpoczęciem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Sygnalizacja dodatkowa (np. „gruszka”, przycisk)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Średnica otworu </w:t>
            </w:r>
            <w:proofErr w:type="spellStart"/>
            <w:r>
              <w:rPr>
                <w:rFonts w:ascii="Times New Roman" w:hAnsi="Times New Roman"/>
                <w:sz w:val="20"/>
              </w:rPr>
              <w:t>gantry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aparatu (magnes z systemem „</w:t>
            </w:r>
            <w:proofErr w:type="spellStart"/>
            <w:r>
              <w:rPr>
                <w:rFonts w:ascii="Times New Roman" w:hAnsi="Times New Roman"/>
                <w:sz w:val="20"/>
              </w:rPr>
              <w:t>shim</w:t>
            </w:r>
            <w:proofErr w:type="spellEnd"/>
            <w:r>
              <w:rPr>
                <w:rFonts w:ascii="Times New Roman" w:hAnsi="Times New Roman"/>
                <w:sz w:val="20"/>
              </w:rPr>
              <w:t>”, cewkami gradientowymi, zintegrowaną cewką nadawczo-odbiorczą ogólnego zastosowania i obudowami)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70 cm;</w:t>
            </w:r>
          </w:p>
          <w:p w:rsidR="00B17D7B" w:rsidRDefault="009401C7">
            <w:pPr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Regulowana wentylacja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Oświetlenie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Dwa identyczne funkcjonalnie panele sterujące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Wyświetlacze dotykowe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i zintegrowane z nią, umożliwiające sterowanie aparatem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Możliwość dokonania szybkiego zaprogramowania środka </w:t>
            </w:r>
            <w:r w:rsidR="001C585D">
              <w:t>obszaru skanowania</w:t>
            </w:r>
            <w:r>
              <w:t xml:space="preserve"> za pomocą aktywnej listwy dotykowej umieszczonej wzdłuż blatu stołu lub rozwiązanie równoważne </w:t>
            </w:r>
            <w:proofErr w:type="spellStart"/>
            <w:r>
              <w:t>np.panel</w:t>
            </w:r>
            <w:proofErr w:type="spellEnd"/>
            <w:r>
              <w:t xml:space="preserve"> dotykowy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Opisać rozwiązanie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proofErr w:type="spellStart"/>
            <w:r>
              <w:t>Centrator</w:t>
            </w:r>
            <w:proofErr w:type="spellEnd"/>
            <w:r>
              <w:t xml:space="preserve"> laserowy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Kamera TV do obserwacji pacjenta w tunelu </w:t>
            </w:r>
            <w:proofErr w:type="spellStart"/>
            <w:r>
              <w:t>gantry</w:t>
            </w:r>
            <w:proofErr w:type="spellEnd"/>
            <w:r>
              <w:rPr>
                <w:lang w:eastAsia="ja-JP"/>
              </w:rPr>
              <w:t xml:space="preserve"> z monitorem </w:t>
            </w:r>
            <w:r>
              <w:rPr>
                <w:lang w:eastAsia="ja-JP"/>
              </w:rPr>
              <w:br/>
              <w:t>w pomieszczeniu operatorskim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Dwukierunkowy interkom do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Słuchawki tłumiące hałas dla pacjenta z możliwością podłączenia odsłuchu np. muzyki i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7.       APLIKACJE KLINICZNE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neurologiczne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Rutynowe badania morfologiczne obszaru głowy, kręgosłupa i rdzenia kręgowego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Badania przepływu płynu mózgowo-rdzeniowego wraz z oceną ilościową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rPr>
                <w:lang w:eastAsia="ja-JP"/>
              </w:rPr>
              <w:t>Dedykowane oprogramowanie umożliwiające zautomatyzowane przeprowadzanie pozycjonowania badań mózgu w sposób nadzorowany przez skaner (</w:t>
            </w:r>
            <w:proofErr w:type="spellStart"/>
            <w:r>
              <w:rPr>
                <w:lang w:eastAsia="ja-JP"/>
              </w:rPr>
              <w:t>AutoAlign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AIRx</w:t>
            </w:r>
            <w:proofErr w:type="spellEnd"/>
            <w:r>
              <w:rPr>
                <w:lang w:eastAsia="ja-JP"/>
              </w:rPr>
              <w:t xml:space="preserve">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Możliwość wybrania 10 lub więcej celów pozycjonowania warstw – 3 pkt.</w:t>
            </w:r>
          </w:p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Algorytm pozycjonowania warstw oparty o analizę sieci neuronowych ( AI ) – 3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 xml:space="preserve"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>
              <w:rPr>
                <w:lang w:eastAsia="ja-JP"/>
              </w:rPr>
              <w:t>Spine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Specjalna sekwencja akwizycyjna, pozwalająca na uzyskanie danych umożliwiających rekonstruowanie obrazów T1, T2, FLAIR, STIR ze zmiennymi parametrami TE, TR i TI oraz otrzymywanie kolorowych map parametrycznych T1, T2, PD (MAGIC, MDME TSE lub odpowiednik) Analiza uzyskanych danych możliwa po zakończeniu akwizycji. Opracowanie badania możliwe na konsoli operatora lub na konsoli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t xml:space="preserve">Specjalna sekwencja akwizycyjna MR </w:t>
            </w:r>
            <w:proofErr w:type="spellStart"/>
            <w:r>
              <w:t>Fingerprinting</w:t>
            </w:r>
            <w:proofErr w:type="spellEnd"/>
            <w:r>
              <w:t>, pozwalająca na generowanie ilościowych danych wieloparametrycznych z pojedynczej akwizycji, dopasowująca je do biblioteki referencyjnej oraz tłumacząca je na mapy ilościowe T1 i T2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4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dyfuzji</w:t>
            </w:r>
            <w:r>
              <w:rPr>
                <w:lang w:eastAsia="ja-JP"/>
              </w:rPr>
              <w:t xml:space="preserve"> (DWI)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z wysoką rozdzielczością (non-single-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>, np. sekwencjami typu PSIF-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, FASE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wartość współczynnika b w DWI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10 000 s/mm</w:t>
            </w:r>
            <w:r>
              <w:rPr>
                <w:vertAlign w:val="superscript"/>
                <w:lang w:eastAsia="ja-JP"/>
              </w:rPr>
              <w:t>2</w:t>
            </w:r>
            <w: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[s/mm</w:t>
            </w:r>
            <w:r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ADC (</w:t>
            </w:r>
            <w:proofErr w:type="spellStart"/>
            <w:r>
              <w:rPr>
                <w:lang w:eastAsia="ja-JP"/>
              </w:rPr>
              <w:t>Apparent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Coef</w:t>
            </w:r>
            <w:proofErr w:type="spellEnd"/>
            <w:r>
              <w:rPr>
                <w:lang w:eastAsia="ja-JP"/>
              </w:rPr>
              <w:t xml:space="preserve">.) na konsoli podstawowej przy badaniach DWI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podatności, na styku tkanki miękkiej i powietrza w badaniach DWI (RESOLVE, DWI Propeller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DWI w oparciu o EPI w ograniczonym i powiększonym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>, możliwe dzięki technologii selektywnego pobudzania fragmentu obrazowanej warstwy lub objętości (</w:t>
            </w:r>
            <w:proofErr w:type="spellStart"/>
            <w:r>
              <w:rPr>
                <w:lang w:eastAsia="ja-JP"/>
              </w:rPr>
              <w:t>ZOOMit</w:t>
            </w:r>
            <w:proofErr w:type="spellEnd"/>
            <w:r>
              <w:rPr>
                <w:lang w:eastAsia="ja-JP"/>
              </w:rPr>
              <w:t xml:space="preserve"> PRO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, SMS-DWI, </w:t>
            </w:r>
            <w:proofErr w:type="spellStart"/>
            <w:r>
              <w:rPr>
                <w:lang w:eastAsia="ja-JP"/>
              </w:rPr>
              <w:t>HyperBand</w:t>
            </w:r>
            <w:proofErr w:type="spellEnd"/>
            <w:r>
              <w:rPr>
                <w:lang w:eastAsia="ja-JP"/>
              </w:rPr>
              <w:t xml:space="preserve">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aplikacja pozwalająca na kalkulacje obrazów DWI zależnych o wartości współczynnika b z zakresu co najmniej 100 – 2000 s/mm2 na podstawie akwizycji DWI, Aplikacja działająca po zakończeniu akwizycji (MAGIC DWI</w:t>
            </w:r>
            <w:r w:rsidR="00801EBE">
              <w:rPr>
                <w:lang w:eastAsia="ja-JP"/>
              </w:rPr>
              <w:t xml:space="preserve">, </w:t>
            </w:r>
            <w:proofErr w:type="spellStart"/>
            <w:r w:rsidR="00801EBE">
              <w:rPr>
                <w:lang w:eastAsia="ja-JP"/>
              </w:rPr>
              <w:t>Calculated</w:t>
            </w:r>
            <w:proofErr w:type="spellEnd"/>
            <w:r w:rsidR="00801EBE">
              <w:rPr>
                <w:lang w:eastAsia="ja-JP"/>
              </w:rPr>
              <w:t xml:space="preserve"> DWI</w:t>
            </w:r>
            <w:r>
              <w:rPr>
                <w:lang w:eastAsia="ja-JP"/>
              </w:rPr>
              <w:t xml:space="preserve"> lub odpowiednik), zintegrowana z konsolą operatorską (interfejsem użytkownika).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tensora dyfuzji</w:t>
            </w:r>
            <w:r>
              <w:rPr>
                <w:lang w:eastAsia="ja-JP"/>
              </w:rPr>
              <w:t xml:space="preserve"> (DTI)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DTI w oparciu o Single 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dyfuzji kierunkowej z różnymi wartościami współczynnika b w DTI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fr-FR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liczba kierunków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>≥ 128</w:t>
            </w:r>
            <w:r>
              <w:rPr>
                <w:lang w:eastAsia="ja-JP"/>
              </w:rP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2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 xml:space="preserve">Pozostałe – </w:t>
            </w:r>
            <w:r>
              <w:lastRenderedPageBreak/>
              <w:t>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perfuzji</w:t>
            </w:r>
            <w:r>
              <w:rPr>
                <w:lang w:eastAsia="ja-JP"/>
              </w:rPr>
              <w:t xml:space="preserve"> (PWI)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Perfuzja z wykorzystaniem technik DCE, DSC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MTT, CBV i CBF na konsoli</w:t>
            </w:r>
            <w:r w:rsidR="00131B75">
              <w:rPr>
                <w:lang w:eastAsia="ja-JP"/>
              </w:rPr>
              <w:t xml:space="preserve"> podstawowej przy badaniach PWI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perfuzja 2D lub 3D</w:t>
            </w:r>
            <w:r>
              <w:t xml:space="preserve"> </w:t>
            </w:r>
            <w:r>
              <w:rPr>
                <w:lang w:eastAsia="ja-JP"/>
              </w:rPr>
              <w:t>mózgu typu ASL (</w:t>
            </w:r>
            <w:proofErr w:type="spellStart"/>
            <w:r>
              <w:rPr>
                <w:lang w:eastAsia="ja-JP"/>
              </w:rPr>
              <w:t>Arterial</w:t>
            </w:r>
            <w:proofErr w:type="spellEnd"/>
            <w:r>
              <w:rPr>
                <w:lang w:eastAsia="ja-JP"/>
              </w:rPr>
              <w:t xml:space="preserve"> Spin </w:t>
            </w:r>
            <w:proofErr w:type="spellStart"/>
            <w:r>
              <w:rPr>
                <w:lang w:eastAsia="ja-JP"/>
              </w:rPr>
              <w:t>Labeling</w:t>
            </w:r>
            <w:proofErr w:type="spellEnd"/>
            <w:r>
              <w:rPr>
                <w:lang w:eastAsia="ja-JP"/>
              </w:rPr>
              <w:t xml:space="preserve">) </w:t>
            </w:r>
            <w:r>
              <w:t xml:space="preserve">wykorzystująca co najmniej technikę </w:t>
            </w:r>
            <w:proofErr w:type="spellStart"/>
            <w:r>
              <w:t>pCASL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podatności magnetycznej</w:t>
            </w:r>
            <w:r>
              <w:rPr>
                <w:lang w:eastAsia="ja-JP"/>
              </w:rPr>
              <w:t xml:space="preserve"> (SWI)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Obrazowanie ważone podatnością magnetyczną tkanki (SWI) –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Weighted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, SWAN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Spektroskopia </w:t>
            </w:r>
            <w:r>
              <w:rPr>
                <w:lang w:eastAsia="ja-JP"/>
              </w:rPr>
              <w:t>(MRS)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Single </w:t>
            </w:r>
            <w:proofErr w:type="spellStart"/>
            <w:r>
              <w:rPr>
                <w:lang w:eastAsia="ja-JP"/>
              </w:rPr>
              <w:t>Voxel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Spectroscopy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SVS MRS)</w:t>
            </w:r>
            <w:r>
              <w:rPr>
                <w:lang w:eastAsia="ja-JP"/>
              </w:rPr>
              <w:br/>
              <w:t xml:space="preserve"> z zastosowaniem techniki STEAM i PRESS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2D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2DCSI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3D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3DCSI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prostaty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serca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Badania funkcjonalne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Badania funkcjonalne mózgu (</w:t>
            </w:r>
            <w:proofErr w:type="spellStart"/>
            <w:r>
              <w:t>fMRI</w:t>
            </w:r>
            <w:proofErr w:type="spellEnd"/>
            <w:r>
              <w:t>) w oparciu o techniki BOLD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retrospektywny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prospektywny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 dokonujący automatycznej korekcji artefaktów ruchowych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Tworzenie map aktywacji</w:t>
            </w:r>
            <w:r w:rsidR="00131B75">
              <w:rPr>
                <w:lang w:eastAsia="ja-JP"/>
              </w:rPr>
              <w:t xml:space="preserve"> (t-test)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Wyzwalanie sekwencji obrazujących z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in)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Wysyłanie przez skaner sygnału synchronizacji do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out)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Budowanie własnych paradygmatów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Aplikacje do zaawansowanego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badań czynnościowych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typu Brain </w:t>
            </w:r>
            <w:proofErr w:type="spellStart"/>
            <w:r>
              <w:rPr>
                <w:lang w:eastAsia="ja-JP"/>
              </w:rPr>
              <w:t>Wave</w:t>
            </w:r>
            <w:proofErr w:type="spellEnd"/>
            <w:r>
              <w:rPr>
                <w:lang w:eastAsia="ja-JP"/>
              </w:rPr>
              <w:t xml:space="preserve"> PA, </w:t>
            </w:r>
            <w:proofErr w:type="spellStart"/>
            <w:r>
              <w:rPr>
                <w:lang w:eastAsia="ja-JP"/>
              </w:rPr>
              <w:t>syngo.Neuro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, BOLD </w:t>
            </w:r>
            <w:proofErr w:type="spellStart"/>
            <w:r>
              <w:rPr>
                <w:lang w:eastAsia="ja-JP"/>
              </w:rPr>
              <w:t>Specialist</w:t>
            </w:r>
            <w:proofErr w:type="spellEnd"/>
            <w:r>
              <w:rPr>
                <w:lang w:eastAsia="ja-JP"/>
              </w:rP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Korekcja zniekształceń geometrycznych EPI (EPI </w:t>
            </w:r>
            <w:proofErr w:type="spellStart"/>
            <w:r>
              <w:t>Distortion</w:t>
            </w:r>
            <w:proofErr w:type="spellEnd"/>
            <w:r>
              <w:t>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Angiografia </w:t>
            </w:r>
            <w:r>
              <w:rPr>
                <w:lang w:eastAsia="ja-JP"/>
              </w:rPr>
              <w:t>(MRA)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Bezkontrastowa</w:t>
            </w:r>
            <w:proofErr w:type="spellEnd"/>
            <w:r>
              <w:rPr>
                <w:lang w:val="en-US" w:eastAsia="ja-JP"/>
              </w:rPr>
              <w:t xml:space="preserve"> MRA </w:t>
            </w:r>
            <w:proofErr w:type="spellStart"/>
            <w:r>
              <w:rPr>
                <w:lang w:val="en-US" w:eastAsia="ja-JP"/>
              </w:rPr>
              <w:t>techniką</w:t>
            </w:r>
            <w:proofErr w:type="spellEnd"/>
            <w:r>
              <w:rPr>
                <w:lang w:val="en-US" w:eastAsia="ja-JP"/>
              </w:rPr>
              <w:t xml:space="preserve"> Time-of-Flight MRA (</w:t>
            </w:r>
            <w:proofErr w:type="spellStart"/>
            <w:r>
              <w:rPr>
                <w:lang w:val="en-US" w:eastAsia="ja-JP"/>
              </w:rPr>
              <w:t>ToF</w:t>
            </w:r>
            <w:proofErr w:type="spellEnd"/>
            <w:r>
              <w:rPr>
                <w:lang w:val="en-US" w:eastAsia="ja-JP"/>
              </w:rPr>
              <w:t>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 xml:space="preserve"> MRA (PC)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abdominalnych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peryferyjnych z wysoką rozdzielczością przestrzenną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Kontrastowe MRA (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Automatyczne śledzenie napływu środka kontrastowego – </w:t>
            </w:r>
            <w:proofErr w:type="spellStart"/>
            <w:r>
              <w:rPr>
                <w:lang w:eastAsia="ja-JP"/>
              </w:rPr>
              <w:t>SmartPrep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Care</w:t>
            </w:r>
            <w:proofErr w:type="spellEnd"/>
            <w:r>
              <w:rPr>
                <w:lang w:eastAsia="ja-JP"/>
              </w:rPr>
              <w:t xml:space="preserve"> Bolus, Bolus 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7.8.9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Techniki </w:t>
            </w:r>
            <w:proofErr w:type="spellStart"/>
            <w:r>
              <w:rPr>
                <w:lang w:eastAsia="ja-JP"/>
              </w:rPr>
              <w:t>bezkontrastowej</w:t>
            </w:r>
            <w:proofErr w:type="spellEnd"/>
            <w:r>
              <w:rPr>
                <w:lang w:eastAsia="ja-JP"/>
              </w:rPr>
              <w:t xml:space="preserve"> angiografii (inne niż  ww.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 oraz inne niż techniki opisane w punktach powyżej m.in. INHANCE, NATIVE, TRANCE), przeznaczone do obrazowania dużych obszarów tętniczych naczyń peryferyjnych z wysoką rozdzielczością przestrzenną pozwalające na analizę wzmocnienia patologicznego w guzach, odporne na zakłócenia – QISS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7.8.10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 w:rsidRPr="007A15F5">
              <w:rPr>
                <w:lang w:eastAsia="ja-JP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– </w:t>
            </w:r>
            <w:r w:rsidRPr="003C3EC9">
              <w:rPr>
                <w:strike/>
                <w:color w:val="00B050"/>
              </w:rPr>
              <w:t>2 pkt.</w:t>
            </w:r>
            <w:r w:rsidR="00643D5E" w:rsidRPr="003C3EC9">
              <w:rPr>
                <w:strike/>
                <w:color w:val="00B050"/>
              </w:rPr>
              <w:t xml:space="preserve"> </w:t>
            </w:r>
            <w:r w:rsidR="00643D5E" w:rsidRPr="003C3EC9">
              <w:rPr>
                <w:color w:val="00B050"/>
              </w:rPr>
              <w:t>4 pkt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Badania kardiologiczne </w:t>
            </w:r>
            <w:r>
              <w:rPr>
                <w:lang w:eastAsia="ja-JP"/>
              </w:rPr>
              <w:t>(CMR)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Podstawowe protokoły do badań </w:t>
            </w:r>
            <w:r>
              <w:rPr>
                <w:lang w:eastAsia="ja-JP"/>
              </w:rPr>
              <w:t>CMR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Badania CMR z tłumieniem sygnału krwi (Dark Blood </w:t>
            </w:r>
            <w:proofErr w:type="spellStart"/>
            <w:r>
              <w:t>Imaging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First-Pass </w:t>
            </w:r>
            <w:proofErr w:type="spellStart"/>
            <w:r>
              <w:t>Perfusion</w:t>
            </w:r>
            <w:proofErr w:type="spellEnd"/>
            <w:r>
              <w:t xml:space="preserve"> (perfuzja pierwszego przejścia)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proofErr w:type="spellStart"/>
            <w:r>
              <w:t>Delayed</w:t>
            </w:r>
            <w:proofErr w:type="spellEnd"/>
            <w:r>
              <w:t xml:space="preserve"> Enhancement 2D (ocena opóźnionego wzmocnienia kontrastowego 2D)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proofErr w:type="spellStart"/>
            <w:r>
              <w:t>Delayed</w:t>
            </w:r>
            <w:proofErr w:type="spellEnd"/>
            <w:r>
              <w:t xml:space="preserve"> Enhancement  3D (ocena opóźnionego wzmocnienia kontrastowego 3D)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Obrazowanie tętnic wieńcowych (SSFP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, 3D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, 3D </w:t>
            </w:r>
            <w:proofErr w:type="spellStart"/>
            <w:r>
              <w:t>Heart</w:t>
            </w:r>
            <w:proofErr w:type="spellEnd"/>
            <w: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>Nawigator kardiologiczny (bramkowanie w oparciu o monitorowanie ruchu przepony)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wykrywania koncentracji żelaza w mięśniu sercowym i innych tkankach wraz z oprogramowaniem </w:t>
            </w:r>
            <w:proofErr w:type="spellStart"/>
            <w:r>
              <w:t>postprocessingowym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analizy ilościowej przepływów krwi w sercu i naczyniach (2d </w:t>
            </w:r>
            <w:proofErr w:type="spellStart"/>
            <w:r>
              <w:t>qflow</w:t>
            </w:r>
            <w:proofErr w:type="spellEnd"/>
            <w:r>
              <w:t xml:space="preserve"> oraz 4d </w:t>
            </w:r>
            <w:proofErr w:type="spellStart"/>
            <w:r>
              <w:t>flow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Dedykowane oprogramowanie umożliwiające zautomatyzowane przeprowadzanie badań serca - </w:t>
            </w:r>
            <w:proofErr w:type="spellStart"/>
            <w:r>
              <w:rPr>
                <w:lang w:eastAsia="ja-JP"/>
              </w:rPr>
              <w:t>Cardiac</w:t>
            </w:r>
            <w:proofErr w:type="spellEnd"/>
            <w:r>
              <w:rPr>
                <w:lang w:eastAsia="ja-JP"/>
              </w:rPr>
              <w:t xml:space="preserve"> DOT Engine. Badanie przeprowadzone w sposób ograniczający ilość kroków i wyposażone co najmniej w następujące mechanizmy takie jak: 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instrukcje dla użytkownika „krok po kroku” zintegrowane z procedurą badania,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obrazy i wskazówki tekstowe wyświetlane dla każdego kroku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 automatyczne propagowanie zaplanowanych warstw do wszystkich sekwencji w tych samych płaszczyznach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automatyczne komendy głosowe dla pacjenta przy badaniach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automatyczna lokalizacja tzw. </w:t>
            </w:r>
            <w:r w:rsidR="00C648A5">
              <w:rPr>
                <w:lang w:eastAsia="ja-JP"/>
              </w:rPr>
              <w:t>Nawigatora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automatyczny dobór optymalnej cewki do danej sekwencji/badania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automatyczne rekonstrukcje, np. dla sekwencji </w:t>
            </w:r>
            <w:proofErr w:type="spellStart"/>
            <w:r>
              <w:rPr>
                <w:lang w:eastAsia="ja-JP"/>
              </w:rPr>
              <w:t>angio</w:t>
            </w:r>
            <w:proofErr w:type="spellEnd"/>
            <w:r>
              <w:rPr>
                <w:lang w:eastAsia="ja-JP"/>
              </w:rPr>
              <w:t>, 3D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krzywych bramkowanie (EKG, oddechowego, </w:t>
            </w:r>
            <w:proofErr w:type="spellStart"/>
            <w:r>
              <w:rPr>
                <w:lang w:eastAsia="ja-JP"/>
              </w:rPr>
              <w:t>obwodowego-PG</w:t>
            </w:r>
            <w:proofErr w:type="spellEnd"/>
            <w:r>
              <w:rPr>
                <w:lang w:eastAsia="ja-JP"/>
              </w:rPr>
              <w:t>) na aparacie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automatyczną optymalizację sekwencji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rozmiaru </w:t>
            </w:r>
            <w:proofErr w:type="spellStart"/>
            <w:r>
              <w:rPr>
                <w:lang w:eastAsia="ja-JP"/>
              </w:rPr>
              <w:t>pixela</w:t>
            </w:r>
            <w:proofErr w:type="spellEnd"/>
            <w:r>
              <w:rPr>
                <w:lang w:eastAsia="ja-JP"/>
              </w:rPr>
              <w:t xml:space="preserve"> oraz </w:t>
            </w:r>
            <w:proofErr w:type="spellStart"/>
            <w:r>
              <w:rPr>
                <w:lang w:eastAsia="ja-JP"/>
              </w:rPr>
              <w:t>bandwidth</w:t>
            </w:r>
            <w:proofErr w:type="spellEnd"/>
            <w:r>
              <w:rPr>
                <w:lang w:eastAsia="ja-JP"/>
              </w:rPr>
              <w:t xml:space="preserve"> (potrzebne przy planowaniu sekwencji lub badań naukowych)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AF1C61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lastRenderedPageBreak/>
              <w:t>7.9.12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AF1C61" w:rsidRPr="003C3EC9" w:rsidRDefault="00AF1C61" w:rsidP="007A15F5">
            <w:pPr>
              <w:snapToGrid w:val="0"/>
              <w:rPr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 xml:space="preserve">Technika przyspieszająca obrazowanie funkcjonalne typu </w:t>
            </w:r>
            <w:proofErr w:type="spellStart"/>
            <w:r w:rsidRPr="003C3EC9">
              <w:rPr>
                <w:color w:val="00B050"/>
                <w:lang w:eastAsia="ja-JP"/>
              </w:rPr>
              <w:t>Cine</w:t>
            </w:r>
            <w:proofErr w:type="spellEnd"/>
            <w:r w:rsidRPr="003C3EC9">
              <w:rPr>
                <w:color w:val="00B050"/>
                <w:lang w:eastAsia="ja-JP"/>
              </w:rPr>
              <w:t>, bazująca na numerycznych metodach skompresowanego próbkowania i rekonstrukcji iteracyjnej, umożliwiającej poprawę rozdzielczości przestrzennej lub czasowej znacznie skracając czas skanowania (</w:t>
            </w:r>
            <w:proofErr w:type="spellStart"/>
            <w:r w:rsidRPr="003C3EC9">
              <w:rPr>
                <w:color w:val="00B050"/>
                <w:lang w:eastAsia="ja-JP"/>
              </w:rPr>
              <w:t>Compressed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Sensing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Cardiac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Cine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Tak/Nie</w:t>
            </w:r>
          </w:p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F1C61" w:rsidRPr="003C3EC9" w:rsidRDefault="005A3676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Tak – 2</w:t>
            </w:r>
            <w:r w:rsidR="00AF1C61" w:rsidRPr="003C3EC9">
              <w:rPr>
                <w:color w:val="00B050"/>
              </w:rPr>
              <w:t xml:space="preserve"> pkt</w:t>
            </w:r>
          </w:p>
          <w:p w:rsidR="00AF1C61" w:rsidRPr="003C3EC9" w:rsidRDefault="00AF1C6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F1C61" w:rsidRDefault="00AF1C61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w obszarze abdominalnym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xl42"/>
              <w:snapToGrid w:val="0"/>
              <w:spacing w:before="40" w:after="40"/>
              <w:textAlignment w:val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Pakiet do dynamicznych badań wątroby – LAVA, VIBE, THRIVE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Cholangiografia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dyfuzyjne w obszarze abdominalnym – REVEAL, DWIBS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Nawigator 2D</w:t>
            </w:r>
            <w:r>
              <w:t xml:space="preserve"> prospektywny</w:t>
            </w:r>
            <w:r>
              <w:rPr>
                <w:lang w:eastAsia="ja-JP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proofErr w:type="spellStart"/>
            <w:r>
              <w:rPr>
                <w:lang w:eastAsia="ja-JP"/>
              </w:rPr>
              <w:t>Compressed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Sensing</w:t>
            </w:r>
            <w:proofErr w:type="spellEnd"/>
            <w:r>
              <w:rPr>
                <w:lang w:eastAsia="ja-JP"/>
              </w:rPr>
              <w:t xml:space="preserve"> GRASP-VIBE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3D tułowia niewrażliwych na artefakty ruchowe bez konieczności wstrzymywania oddechu przez pacjenta opartą o mechanizm radialnej akwizycji przestrzeni k (STAR-VIBE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7.10.7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r>
              <w:rPr>
                <w:lang w:eastAsia="ja-JP"/>
              </w:rPr>
              <w:t>Dedykowane oprogramowanie umożliwiające zautomatyzowane przeprowadzanie badań wątroby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wraz z mapowaniem parametrycznym (</w:t>
            </w:r>
            <w:proofErr w:type="spellStart"/>
            <w:r>
              <w:rPr>
                <w:lang w:eastAsia="ja-JP"/>
              </w:rPr>
              <w:t>LiverLab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równoważne zgodnie z nomenklaturą producenta.)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3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Dedykowana sekwencja obrazująca umożliwiająca wykonywanie bardzo szybkich badań dynamicznych 4D wątroby o wysokiej rozdzielczości przestrzennej i czasowej, pozwalająca na uchwycenie wielu momentów czasowych fazy tętniczej (TWIST-VIBE, DISCO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ortopedyczne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Podstawowe i zaawansowane protokoły i sekwencje pomiarowe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barku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nadgarstka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kolanowego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skokowego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w badaniach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 TSE, SMS-TSE,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Pakiet do szybkiego, dynamicznego obrazowania z wysoką rozdzielczością piersi, pozwalający na wykorzystanie technik równoległych (VIEWS+VIBE, VIBRANT, THRIVE+BLISS lub odpowiednio do </w:t>
            </w:r>
            <w:r>
              <w:rPr>
                <w:lang w:eastAsia="ja-JP"/>
              </w:rPr>
              <w:lastRenderedPageBreak/>
              <w:t>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dla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DWI)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T1-ważone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STIR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całego ciała za pomocą oprogramowania pozwalającego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Obrazowanie równoległe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obrazów (SENSE)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Maksymalny współczynnik przyspieszenia dla obrazowania równoległego </w:t>
            </w:r>
            <w:r>
              <w:rPr>
                <w:lang w:eastAsia="ja-JP"/>
              </w:rPr>
              <w:br/>
              <w:t>w jednym kierunku lub w dwóch kierunkach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≥ 8;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redukcji artefaktów ruchowych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T1</w:t>
            </w:r>
            <w:r>
              <w:rPr>
                <w:lang w:eastAsia="ja-JP"/>
              </w:rPr>
              <w:br/>
              <w:t>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bCs/>
              </w:rPr>
              <w:t>7.15.3.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FLAIR - 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PD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spektralnej saturacji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tłuszczu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wody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7.17.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Bramkowanie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 retrospektywne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 retrospektywne.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8. SEKWENCJE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Spin Echo (SE)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Inversion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Recovery</w:t>
            </w:r>
            <w:proofErr w:type="spellEnd"/>
            <w:r>
              <w:rPr>
                <w:lang w:eastAsia="ja-JP"/>
              </w:rPr>
              <w:t xml:space="preserve"> (IR)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Gradient Echo (GRE)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SPGR, FLASH, T1-FFE lub odpowiednik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GRASS, FISP, FFE lub odpowiednik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Fast GRE z impulsami preparacyjnymi (</w:t>
            </w:r>
            <w:proofErr w:type="spellStart"/>
            <w:r>
              <w:rPr>
                <w:lang w:eastAsia="ja-JP"/>
              </w:rPr>
              <w:t>TurboFLASH</w:t>
            </w:r>
            <w:proofErr w:type="spellEnd"/>
            <w:r>
              <w:rPr>
                <w:lang w:eastAsia="ja-JP"/>
              </w:rPr>
              <w:t>, MPGRASS, TFE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Szybkie 3D GRE z </w:t>
            </w:r>
            <w:proofErr w:type="spellStart"/>
            <w:r>
              <w:rPr>
                <w:lang w:eastAsia="ja-JP"/>
              </w:rPr>
              <w:t>quick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 (tj. tylko jeden impuls saturacji tłuszczu na cykl kodowania 3D) dla wysokorozdzielczego obrazowania 3D w obszarze brzucha przy zatrzymanym oddechu (VIBE, LAVA, THRIVE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sv-SE" w:eastAsia="ja-JP"/>
              </w:rPr>
            </w:pPr>
            <w:r>
              <w:rPr>
                <w:lang w:val="sv-SE" w:eastAsia="ja-JP"/>
              </w:rPr>
              <w:t>2D i 3D GRE z full transverse rephasing (TrueFISP, Balanced FFE,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GRE z </w:t>
            </w:r>
            <w:proofErr w:type="spellStart"/>
            <w:r>
              <w:rPr>
                <w:lang w:eastAsia="ja-JP"/>
              </w:rPr>
              <w:t>full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transverse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w kombinacji ze spektralną saturacją tłuszczu (</w:t>
            </w:r>
            <w:proofErr w:type="spellStart"/>
            <w:r>
              <w:rPr>
                <w:lang w:eastAsia="ja-JP"/>
              </w:rPr>
              <w:t>TrueFISP</w:t>
            </w:r>
            <w:proofErr w:type="spellEnd"/>
            <w:r>
              <w:rPr>
                <w:lang w:eastAsia="ja-JP"/>
              </w:rPr>
              <w:t xml:space="preserve"> with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, 3D </w:t>
            </w:r>
            <w:proofErr w:type="spellStart"/>
            <w:r>
              <w:rPr>
                <w:lang w:eastAsia="ja-JP"/>
              </w:rPr>
              <w:t>FatSat</w:t>
            </w:r>
            <w:proofErr w:type="spellEnd"/>
            <w:r>
              <w:rPr>
                <w:lang w:eastAsia="ja-JP"/>
              </w:rPr>
              <w:t xml:space="preserve">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GRE z RF-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(PSIF, SSFP, T2-FFE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  <w:r>
              <w:rPr>
                <w:lang w:val="en-US" w:eastAsia="ja-JP"/>
              </w:rPr>
              <w:t>Turbo Spin Echo, Fast Spin Echo (TSE, FSE)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Multi-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8.14.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Turbo IR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Izotropowe sekwencje 3D pozwalające w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Pakiet oprogramowania pozwalający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badań drobnych struktur OUN (typu FIESTA-C, 3D CISS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różnicowania chrząstki od płynu w badaniach stawów (typu 3D DESS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9. PARAMETRY SKANOWANIA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Parametry pola widzenia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płaszczyźnie poprzecznej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największa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najmniejsza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osi podłużnej z (statycznie, bez przesuwu stołu pacjenta)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1,0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Parametry akwizycyjne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akwizycyjna 1024 x 1024, bez interpolacji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</w:t>
            </w:r>
            <w:proofErr w:type="spellStart"/>
            <w:r>
              <w:rPr>
                <w:lang w:eastAsia="ja-JP"/>
              </w:rPr>
              <w:t>skanów</w:t>
            </w:r>
            <w:proofErr w:type="spellEnd"/>
            <w:r>
              <w:rPr>
                <w:lang w:eastAsia="ja-JP"/>
              </w:rPr>
              <w:t xml:space="preserve"> 2D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9.2.3.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</w:t>
            </w:r>
            <w:proofErr w:type="spellStart"/>
            <w:r>
              <w:rPr>
                <w:lang w:eastAsia="ja-JP"/>
              </w:rPr>
              <w:t>skanów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TR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strike/>
                <w:color w:val="00B050"/>
                <w:lang w:eastAsia="ja-JP"/>
              </w:rPr>
              <w:t>≤ 2,0 ms: podać wartość  [ms]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>≤ 1,1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najmniejsza –</w:t>
            </w:r>
            <w:r w:rsidR="0018162B" w:rsidRPr="003C3EC9">
              <w:rPr>
                <w:color w:val="00B050"/>
              </w:rPr>
              <w:t xml:space="preserve"> 2</w:t>
            </w:r>
            <w:r w:rsidRPr="003C3EC9">
              <w:rPr>
                <w:color w:val="00B050"/>
              </w:rPr>
              <w:t xml:space="preserve"> pkt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0 pkt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strike/>
                <w:color w:val="00B050"/>
                <w:lang w:eastAsia="ja-JP"/>
              </w:rPr>
              <w:t>≤ 0,29 ms: podać wartość  [ms]</w:t>
            </w:r>
          </w:p>
          <w:p w:rsidR="00153B31" w:rsidRPr="003C3EC9" w:rsidRDefault="00153B31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>≤ 0,22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53B31" w:rsidRPr="003C3EC9" w:rsidRDefault="007A15F5" w:rsidP="00153B31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 xml:space="preserve"> </w:t>
            </w:r>
            <w:r w:rsidR="00153B31" w:rsidRPr="003C3EC9">
              <w:rPr>
                <w:strike/>
                <w:color w:val="00B050"/>
              </w:rPr>
              <w:t>Bez punktacji</w:t>
            </w:r>
          </w:p>
          <w:p w:rsidR="00153B31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najmniejsza –</w:t>
            </w:r>
            <w:r w:rsidR="0018162B" w:rsidRPr="003C3EC9">
              <w:rPr>
                <w:color w:val="00B050"/>
              </w:rPr>
              <w:t xml:space="preserve"> 2</w:t>
            </w:r>
            <w:r w:rsidRPr="003C3EC9">
              <w:rPr>
                <w:color w:val="00B050"/>
              </w:rPr>
              <w:t xml:space="preserve"> pkt</w:t>
            </w:r>
          </w:p>
          <w:p w:rsidR="00153B31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0 pkt</w:t>
            </w:r>
          </w:p>
          <w:p w:rsidR="007A15F5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Pozostałe proporcjonalnie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Min TR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10 ms: podać wartość  [ms]</w:t>
            </w:r>
            <w:r w:rsidRPr="003C3EC9">
              <w:rPr>
                <w:strike/>
                <w:color w:val="00B050"/>
                <w:lang w:eastAsia="ja-JP"/>
              </w:rPr>
              <w:t>Wartość najmniejsza – 2 pkt</w:t>
            </w:r>
            <w:r w:rsidRPr="003C3EC9">
              <w:rPr>
                <w:color w:val="00B050"/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Pozostałe – proporcjonalnie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Wartość najmniejsza </w:t>
            </w:r>
            <w:r w:rsidRPr="003C3EC9">
              <w:rPr>
                <w:color w:val="00B050"/>
              </w:rPr>
              <w:t>–</w:t>
            </w:r>
            <w:r w:rsidRPr="003C3EC9">
              <w:rPr>
                <w:strike/>
                <w:color w:val="00B050"/>
              </w:rPr>
              <w:t xml:space="preserve"> 2 pkt.</w:t>
            </w:r>
            <w:r w:rsidR="0018162B" w:rsidRPr="003C3EC9">
              <w:rPr>
                <w:strike/>
                <w:color w:val="00B050"/>
              </w:rPr>
              <w:t xml:space="preserve"> </w:t>
            </w:r>
            <w:r w:rsidR="005A3676" w:rsidRPr="003C3EC9">
              <w:rPr>
                <w:color w:val="00B050"/>
              </w:rPr>
              <w:t>4</w:t>
            </w:r>
            <w:r w:rsidR="0018162B" w:rsidRPr="003C3EC9">
              <w:rPr>
                <w:color w:val="00B050"/>
              </w:rPr>
              <w:t>pkt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≤ 2,4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Wartość najmniejsza </w:t>
            </w:r>
            <w:r w:rsidRPr="003C3EC9">
              <w:rPr>
                <w:color w:val="00B050"/>
              </w:rPr>
              <w:t>–</w:t>
            </w:r>
            <w:r w:rsidR="0018162B" w:rsidRPr="003C3EC9">
              <w:rPr>
                <w:strike/>
                <w:color w:val="00B050"/>
              </w:rPr>
              <w:t xml:space="preserve">2 pkt. </w:t>
            </w:r>
            <w:r w:rsidR="005A3676" w:rsidRPr="003C3EC9">
              <w:rPr>
                <w:color w:val="00B050"/>
              </w:rPr>
              <w:t>4</w:t>
            </w:r>
            <w:r w:rsidR="0018162B" w:rsidRPr="003C3EC9">
              <w:rPr>
                <w:color w:val="00B050"/>
              </w:rPr>
              <w:t>pkt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sekwencja 3D pracująca z parametrem TE = 0 ms,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ZTE – (TE≤20µs) – 2 pkt</w:t>
            </w:r>
          </w:p>
          <w:p w:rsidR="002156A4" w:rsidRPr="002156A4" w:rsidRDefault="002156A4" w:rsidP="002156A4">
            <w:pPr>
              <w:spacing w:before="40" w:after="40"/>
              <w:rPr>
                <w:strike/>
                <w:color w:val="FF0000"/>
              </w:rPr>
            </w:pPr>
            <w:r w:rsidRPr="003C3EC9">
              <w:rPr>
                <w:color w:val="00B050"/>
              </w:rPr>
              <w:t>UHE (TE≤400µs)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10. KONSOLA OPERATORSKA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sterujący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Pojemność dysku dla obrazów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 GB;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[GB]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Archiwizacja obrazów na dyskach CD-R i DVD z dogrywaniem przeglądarki DICOM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  <w:r>
              <w:rPr>
                <w:lang w:eastAsia="ja-JP"/>
              </w:rP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Liczba obrazów w matrycy min. 256x256 bez kompresji możliwych do archiwizacji na HD ≥ 110 000.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110 000;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2 pkt.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Wartość najmniejsza – 0 pkt </w:t>
            </w:r>
          </w:p>
          <w:p w:rsidR="002156A4" w:rsidRPr="003C3EC9" w:rsidRDefault="002156A4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  <w:r w:rsidRPr="003C3EC9">
              <w:rPr>
                <w:strike/>
                <w:color w:val="00B05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obrazowy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s-E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rekonstrukcyjna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1024x1024;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Szybkość rekonstrukcji dla obrazów w matrycy 256 x 256 przy 100% FOV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20 000 obrazów/s;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rPr>
                <w:lang w:eastAsia="ja-JP"/>
              </w:rPr>
              <w:t>podać wartość [</w:t>
            </w:r>
            <w:proofErr w:type="spellStart"/>
            <w:r>
              <w:rPr>
                <w:lang w:eastAsia="ja-JP"/>
              </w:rPr>
              <w:t>obr</w:t>
            </w:r>
            <w:proofErr w:type="spellEnd"/>
            <w:r>
              <w:rPr>
                <w:lang w:eastAsia="ja-JP"/>
              </w:rPr>
              <w:t>./s]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2156A4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2 pkt.</w:t>
            </w:r>
          </w:p>
          <w:p w:rsidR="002156A4" w:rsidRPr="003C3EC9" w:rsidRDefault="002156A4" w:rsidP="002156A4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Wartość najmniejsza – 0 pkt </w:t>
            </w:r>
          </w:p>
          <w:p w:rsidR="002156A4" w:rsidRPr="003C3EC9" w:rsidRDefault="002156A4" w:rsidP="002156A4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Równoczesne </w:t>
            </w:r>
            <w:proofErr w:type="spellStart"/>
            <w:r>
              <w:rPr>
                <w:lang w:eastAsia="ja-JP"/>
              </w:rPr>
              <w:t>skany</w:t>
            </w:r>
            <w:proofErr w:type="spellEnd"/>
            <w:r>
              <w:rPr>
                <w:lang w:eastAsia="ja-JP"/>
              </w:rPr>
              <w:t xml:space="preserve"> i rekonstrukcja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Proces rekonstrukcji obrazów wspomagany algorytmami bazującymi na mechanizmach sztucznej inteligencji zastosowanymi do operacji na danych </w:t>
            </w:r>
            <w:r w:rsidRPr="001276DD">
              <w:rPr>
                <w:strike/>
                <w:color w:val="00B050"/>
                <w:lang w:eastAsia="ja-JP"/>
              </w:rPr>
              <w:t>„</w:t>
            </w:r>
            <w:proofErr w:type="spellStart"/>
            <w:r w:rsidRPr="001276DD">
              <w:rPr>
                <w:strike/>
                <w:color w:val="00B050"/>
                <w:lang w:eastAsia="ja-JP"/>
              </w:rPr>
              <w:t>raw</w:t>
            </w:r>
            <w:proofErr w:type="spellEnd"/>
            <w:r w:rsidRPr="001276DD">
              <w:rPr>
                <w:strike/>
                <w:color w:val="00B050"/>
                <w:lang w:eastAsia="ja-JP"/>
              </w:rPr>
              <w:t xml:space="preserve"> data”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w celu uzyskania obrazów o zwiększonym SNR (bez artefaktów pochodzących od szumu </w:t>
            </w:r>
            <w:r w:rsidRPr="001276DD">
              <w:rPr>
                <w:strike/>
                <w:color w:val="00B050"/>
                <w:lang w:eastAsia="ja-JP"/>
              </w:rPr>
              <w:t>oraz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 w:rsidR="008E4608" w:rsidRPr="001276DD">
              <w:rPr>
                <w:color w:val="00B050"/>
                <w:lang w:eastAsia="ja-JP"/>
              </w:rPr>
              <w:t xml:space="preserve">lub </w:t>
            </w:r>
            <w:r>
              <w:rPr>
                <w:lang w:eastAsia="ja-JP"/>
              </w:rPr>
              <w:t>artefaktów od anatomii leżącej poza FOV)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jeśli Tak -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Monitor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Technologia LCD / TFT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Przekątna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19”;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[”]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monitora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1280x1024;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Biurko, na którym umieszczone zostaną komputery operatora, strzykawka.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Oprogramowanie kliniczne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MPR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MIP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SSD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Oprogramowanie do analizy wyników spektroskopii protonowej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 xml:space="preserve">H MRS) typu SVS i CSI 2D i 3D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2D i 3D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zainstalowane na konsoli podstawowej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planowania badania np.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) pozwalające na ustawienie protokołów badania dla wszystkich kroków jednorazowo (Planning Suite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Traktografia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Praca w sieci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SEND/RECEIVE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QUERY/RETRIEVE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DICOM PRINT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Storage </w:t>
            </w:r>
            <w:proofErr w:type="spellStart"/>
            <w:r>
              <w:rPr>
                <w:lang w:eastAsia="ja-JP"/>
              </w:rPr>
              <w:t>Commitment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</w:t>
            </w:r>
            <w:proofErr w:type="spellStart"/>
            <w:r>
              <w:rPr>
                <w:lang w:eastAsia="ja-JP"/>
              </w:rPr>
              <w:t>Modality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Worklist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MPPS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10.5.7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Podłączenie rezonansu wraz konsolami lekarskimi do systemu PACS / RIS posiadanego przez Zamawiającego z zapewnieniem licencji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11. KONSOLE LEKARSKIE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nowego serwera aplikacyjnego z możliwością wykorzystania wspólnej puli aplikacji zaawansowanych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opisać zaoferowany wariant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System musi pracować w oparciu o model licencji zdalnych (klient-serwer), umożliwiając zainstalowanie oprogramowania klienckiego na dowolnej liczbie stacji klienckich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Minimalne parametry serwera aplikacyjnego: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pamięć RAM: min. 192 GB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wbudowana macierz w konfiguracji RAID Level 5 lub równoważnej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pojemność macierzy: min. 5 000 GB netto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napęd optyczny: DVD RW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możliwość obsługi min. 12 użytkowników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Sześć stanowisk lekarskich, każde wyposażone w min. 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 xml:space="preserve">2 kolorowe monitory diagnostyczne, o min. przekątnej 24” i rozdzielczości nie mniejszej niż 2.3MP, 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>1 monitor opisowy o min. rozdzielczości 1920 x 1080 pikseli, przekątnej min. 21”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lang w:eastAsia="ja-JP"/>
              </w:rPr>
              <w:t>komputer PC o parametrach: min. 8 GB RAM, dysk min 250 GB, Windows 10 Pro lub równoważny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10 stanowisk lekarskich – 4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8 stanowisk lekarskich –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6 stanowisk lekarskich– 0 pkt.</w:t>
            </w:r>
          </w:p>
          <w:p w:rsidR="007A15F5" w:rsidRDefault="007A15F5" w:rsidP="007A15F5">
            <w:pPr>
              <w:spacing w:before="40" w:after="40"/>
              <w:rPr>
                <w:strike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zdalnej pracy stacji klienckiej diagnostycznej na serwerze, wraz z dostępem do dowolnej aplikacji klinicznej, bez konieczności ściągania badania na stację kliencką.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wszystkich aplikacji w oparciu o model pływających licencji.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ściągnięcia i instalacji klienta na komputerze PC mającym dostęp do serwera aplikacyjnego.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Dostęp z każdego stanowiska lekarskiego do wspólnego serwera aplikacyjnego zawierającego bieżące badania MR, CT oraz zaawansowane aplikacje do ich analizy.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Dostęp natychmiastowy, nie wymagający ręcznego przesyłania badań </w:t>
            </w:r>
            <w:r>
              <w:rPr>
                <w:lang w:eastAsia="ja-JP"/>
              </w:rPr>
              <w:lastRenderedPageBreak/>
              <w:t>pomiędzy serwerami.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11.1.8.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Analiza bieżących badań diagnostycznych CT/MR oraz wczytywanych z serwera PACS i z płyt przynoszonych przez pacjentów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Wsparcie techniczne w zakresie serwera aplikacyjnego obejmujące aktualizacje oprogramowania diagnostycznego (</w:t>
            </w:r>
            <w:proofErr w:type="spellStart"/>
            <w:r>
              <w:rPr>
                <w:lang w:eastAsia="ja-JP"/>
              </w:rPr>
              <w:t>update</w:t>
            </w:r>
            <w:proofErr w:type="spellEnd"/>
            <w:r>
              <w:rPr>
                <w:lang w:eastAsia="ja-JP"/>
              </w:rPr>
              <w:t>/</w:t>
            </w:r>
            <w:proofErr w:type="spellStart"/>
            <w:r>
              <w:rPr>
                <w:lang w:eastAsia="ja-JP"/>
              </w:rPr>
              <w:t>hotfix</w:t>
            </w:r>
            <w:proofErr w:type="spellEnd"/>
            <w:r>
              <w:rPr>
                <w:lang w:eastAsia="ja-JP"/>
              </w:rPr>
              <w:t xml:space="preserve">), modernizacje oprogramowania diagnostycznego (coroczne </w:t>
            </w:r>
            <w:proofErr w:type="spellStart"/>
            <w:r>
              <w:rPr>
                <w:lang w:eastAsia="ja-JP"/>
              </w:rPr>
              <w:t>upgrady</w:t>
            </w:r>
            <w:proofErr w:type="spellEnd"/>
            <w:r>
              <w:rPr>
                <w:lang w:eastAsia="ja-JP"/>
              </w:rPr>
              <w:t xml:space="preserve"> do najnowszej i aktualnej wersji oprogramowania).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Bez punktacji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integracji z innymi serwerami aplikacyjnymi posiadanymi przez Zamawiającego w zakresie bezpiecznego i uwiarygodnionego łączenia się stacji lekarskiej z serwerem w innej lokalizacji i zdalnej pracy nie wymagającej wysyłania badań poza lokalizację serwera.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integracji z innymi serwerami aplikacyjnymi posiadanymi przez Zamawiającego w zakresie wspólnej puli aplikacji zaawansowanych, </w:t>
            </w:r>
            <w:proofErr w:type="spellStart"/>
            <w:r>
              <w:rPr>
                <w:lang w:eastAsia="ja-JP"/>
              </w:rPr>
              <w:t>tj</w:t>
            </w:r>
            <w:proofErr w:type="spellEnd"/>
            <w:r>
              <w:rPr>
                <w:lang w:eastAsia="ja-JP"/>
              </w:rPr>
              <w:t>, możliwości korzystania z pływających licencji pomiędzy serwerami.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 przypadku wykorzystania istniejącego serwera aplikacyjnego, możliwość wykorzystania licencji aplikacji CT/MR posiadanych przez Zamawiającego, w wymogach w których zostało to dopuszczone.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w obrębie serwera aplikacyjnego aplikacji firm trzecich, w pełni zintegrowanych z oprogramowaniem serwera aplikacyjnego (instalacja aplikacji w bezpiecznym środowisku serwera aplikacyjnego), pozwalająca na natychmiastowe otwieranie z dowolnego stanowiska klienckiego dowolnego badania dostępnego w ramach serwera aplikacyjnego z stosowną aplikacją firm trzecich, bez konieczności przesyłania badania do odrębnej stacji.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aplikacji w wersjach testowych, czasowych lub w innym elastycznym planie subskrypcyjnym.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Dostępność zaawansowanych aplikacji do oceny badań CT/MR, min. 3 aplikacje, np. firm: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Neurosuite</w:t>
            </w:r>
            <w:proofErr w:type="spellEnd"/>
            <w:r>
              <w:rPr>
                <w:lang w:eastAsia="ja-JP"/>
              </w:rPr>
              <w:t xml:space="preserve"> firmy </w:t>
            </w:r>
            <w:proofErr w:type="spellStart"/>
            <w:r>
              <w:rPr>
                <w:lang w:eastAsia="ja-JP"/>
              </w:rPr>
              <w:t>mint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Cercare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Medical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SyMRI</w:t>
            </w:r>
            <w:proofErr w:type="spellEnd"/>
            <w:r>
              <w:rPr>
                <w:lang w:eastAsia="ja-JP"/>
              </w:rPr>
              <w:t xml:space="preserve"> NEURO firmy </w:t>
            </w:r>
            <w:proofErr w:type="spellStart"/>
            <w:r>
              <w:rPr>
                <w:lang w:eastAsia="ja-JP"/>
              </w:rPr>
              <w:t>SyntheticMR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Mimics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inPrint</w:t>
            </w:r>
            <w:proofErr w:type="spellEnd"/>
            <w:r>
              <w:rPr>
                <w:lang w:eastAsia="ja-JP"/>
              </w:rPr>
              <w:t xml:space="preserve">  firmy </w:t>
            </w:r>
            <w:proofErr w:type="spellStart"/>
            <w:r>
              <w:rPr>
                <w:lang w:eastAsia="ja-JP"/>
              </w:rPr>
              <w:t>Materialise</w:t>
            </w:r>
            <w:proofErr w:type="spellEnd"/>
            <w:r>
              <w:rPr>
                <w:lang w:eastAsia="ja-JP"/>
              </w:rPr>
              <w:t xml:space="preserve">,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mint Lesion  </w:t>
            </w:r>
            <w:proofErr w:type="spellStart"/>
            <w:r>
              <w:rPr>
                <w:lang w:val="en-US" w:eastAsia="ja-JP"/>
              </w:rPr>
              <w:t>firmy</w:t>
            </w:r>
            <w:proofErr w:type="spellEnd"/>
            <w:r>
              <w:rPr>
                <w:lang w:val="en-US" w:eastAsia="ja-JP"/>
              </w:rPr>
              <w:t xml:space="preserve"> mint medical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  <w:r w:rsidR="002156A4" w:rsidRPr="001276DD">
              <w:rPr>
                <w:color w:val="00B050"/>
                <w:lang w:eastAsia="ja-JP"/>
              </w:rPr>
              <w:t>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1276DD" w:rsidRDefault="002156A4" w:rsidP="007A15F5">
            <w:pPr>
              <w:spacing w:before="40" w:after="40"/>
              <w:rPr>
                <w:color w:val="00B050"/>
              </w:rPr>
            </w:pPr>
            <w:r w:rsidRPr="001276DD">
              <w:rPr>
                <w:color w:val="00B050"/>
              </w:rPr>
              <w:t>Tak – 1pkt</w:t>
            </w:r>
          </w:p>
          <w:p w:rsidR="002156A4" w:rsidRDefault="002156A4" w:rsidP="007A15F5">
            <w:pPr>
              <w:spacing w:before="40" w:after="40"/>
            </w:pPr>
            <w:r w:rsidRPr="001276DD">
              <w:rPr>
                <w:color w:val="00B050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Podstawowe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Jednoczesna prezentacja i odczyt, z synchronizacją przestrzenną, danych obrazowych CT i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Jednoczesne ładowanie min 4 zestawów danych tego samego pacjenta, również z różnych modalności (itp. z CT i 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Funkcjonalność 2D, 3D dla obrazów w standardzie DICOM 3.0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11.2.4.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MIP, MPR, VRT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3D typu </w:t>
            </w:r>
            <w:proofErr w:type="spellStart"/>
            <w:r>
              <w:rPr>
                <w:lang w:eastAsia="ja-JP"/>
              </w:rPr>
              <w:t>Cinematic</w:t>
            </w:r>
            <w:proofErr w:type="spellEnd"/>
            <w:r>
              <w:rPr>
                <w:lang w:eastAsia="ja-JP"/>
              </w:rPr>
              <w:t xml:space="preserve"> Rendering, bazujące na dokładnej fizycznej symulacji oddziaływania światła z materią, realizujące </w:t>
            </w:r>
            <w:proofErr w:type="spellStart"/>
            <w:r>
              <w:rPr>
                <w:lang w:eastAsia="ja-JP"/>
              </w:rPr>
              <w:t>fotorealistyczny</w:t>
            </w:r>
            <w:proofErr w:type="spellEnd"/>
            <w:r>
              <w:rPr>
                <w:lang w:eastAsia="ja-JP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stosująca: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oświetlanie każdego piksela bardzo dużą ilością źródeł światła z dowolnego kierunku,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rozpraszanie/pochłanianie fotonów,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użycie algorytmów numerycznych </w:t>
            </w:r>
            <w:proofErr w:type="spellStart"/>
            <w:r>
              <w:rPr>
                <w:lang w:eastAsia="ja-JP"/>
              </w:rPr>
              <w:t>MonteCarlo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Rekonstrukcja wprowadzona na rynek w ostatnich 4 latach, inna niż adaptacja parametrów typowej rekonstrukcji VRT.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stanowisku; podać nazwę aplikacji/ 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11.2.6.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geometryczne (odległości, kąty)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Wizualizacja badań: CT, MR, PET, USG, RTG, Angiografia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bookmarkStart w:id="0" w:name="__DdeLink__28200_152611649"/>
            <w:bookmarkEnd w:id="0"/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Podstawowa ocena badań PET z możliwością wyznaczenia wychwytu SUV w oparciu o zdefiniowany obszar zainteresowania (ROI)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Automatyczny import badań poprzednich z archiwum PACS na potrzeby porównania z badaniem bieżącym bez udziału użytkownika konsoli w tle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załadowanie obrazów w predefiniowane segmenty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11.2.12.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fuzji obrazów z tomografii komputerowej, rezonansu magnetycznego, medycyny nuklearnej, PET łącznie z badaniami funkcjonalnymi MR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oznaczanie kręgów kręgosłupa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procedury wyświetlania i opracowywania badań MR: badań różnych obszarów ciała oraz badań naczyniowych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Zaawansowane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MR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Narzędzia opracowywania badań MR: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filtr obrazów MR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operacje na obrazach MR: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subtrakcja obrazów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elastyczna korekcja artefaktów ruchowych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średnia arytmetyczna, 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dodawanie,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dzielenie, iloczyn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Funkcjonalność dostępna na dowolnym etapie oceny badań, na dowolnej stacji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</w:t>
            </w: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wyników spektroskopii protonowej (1H MRS) typu SVS i CSI 2D i 3D, z automatyczną eliminacją </w:t>
            </w:r>
            <w:proofErr w:type="spellStart"/>
            <w:r>
              <w:rPr>
                <w:lang w:eastAsia="ja-JP"/>
              </w:rPr>
              <w:t>wokseli</w:t>
            </w:r>
            <w:proofErr w:type="spellEnd"/>
            <w:r>
              <w:rPr>
                <w:lang w:eastAsia="ja-JP"/>
              </w:rPr>
              <w:t xml:space="preserve"> o jakości progu zdefiniowanego przez użytkownika, pozwalająca na analizę wstępną w postaci m.in. filtrowanie sygnału, usuwanie sygnału wody, korekcja fazy. </w:t>
            </w:r>
          </w:p>
          <w:p w:rsidR="007A15F5" w:rsidRDefault="007A15F5" w:rsidP="007A15F5">
            <w:r>
              <w:rPr>
                <w:lang w:eastAsia="ja-JP"/>
              </w:rPr>
              <w:t xml:space="preserve">Dostawa nowej licencji pływającej na serwer aplikacyjny lub dostawa </w:t>
            </w:r>
            <w:r>
              <w:rPr>
                <w:lang w:eastAsia="ja-JP"/>
              </w:rPr>
              <w:lastRenderedPageBreak/>
              <w:t>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 1</w:t>
            </w:r>
            <w:r>
              <w:rPr>
                <w:color w:val="FF000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11.3.5.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ilościowej analizy badań MR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>, w szczególności kalkulacja i prezentacja w kolorze wskaźników MTT, TTP, CBV i CBF.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Pr="000140E6" w:rsidRDefault="007A15F5" w:rsidP="007A15F5">
            <w:pPr>
              <w:spacing w:before="40" w:after="40"/>
              <w:rPr>
                <w:color w:val="00B0F0"/>
              </w:rPr>
            </w:pPr>
            <w:r>
              <w:rPr>
                <w:lang w:eastAsia="ja-JP"/>
              </w:rPr>
              <w:t xml:space="preserve">2 licencje jednoczasowe </w:t>
            </w:r>
            <w:bookmarkStart w:id="1" w:name="_GoBack"/>
            <w:r w:rsidRPr="000140E6">
              <w:rPr>
                <w:b/>
                <w:strike/>
                <w:color w:val="00B0F0"/>
                <w:lang w:eastAsia="ja-JP"/>
              </w:rPr>
              <w:t>lub pływające</w:t>
            </w:r>
            <w:bookmarkEnd w:id="1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obliczania obszaru niedopasowania perfuzji i dyfuzji w badaniach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 xml:space="preserve"> MR.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Oprogramowania do zaawansowanej analizy perfuzji guzów mózgu w szczególności kalkulacja i prezentacja w kolorze wskaźników MTT, CBV, CBF i MTT oraz analiza porównawcza badań z oceną progresji; 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zestawów danych dynamicznych DCS (</w:t>
            </w:r>
            <w:proofErr w:type="spellStart"/>
            <w:r>
              <w:rPr>
                <w:lang w:eastAsia="ja-JP"/>
              </w:rPr>
              <w:t>Dynamic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>).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zaawansowanej oceny badań mózgu z użyciem danych MPRAGE: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automatycznej segmentacji mózgu,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automatycznego wyznaczania objętości poszczególnych struktur,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wyznaczania map odchyleń statusu mózgu w odniesieniu  do danych referencyjnych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obsługa badań porównawczych w celu oceny atrofii mózgu w przypadku chorób neurodegeneracyjnych</w:t>
            </w:r>
          </w:p>
          <w:p w:rsidR="007A15F5" w:rsidRDefault="007A15F5" w:rsidP="007A15F5">
            <w:pPr>
              <w:suppressAutoHyphens/>
              <w:spacing w:before="40" w:after="40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zaawansowanej analizy badań onkologicznych MR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tkanki, zawierające: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trójwymiarowej segmentacji zmian,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wyznaczania objętości zmian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analizowania wczesnej odpowiedzi na terapię w oparciu o badania dyfuzji MR, umożliwiające obliczanie histogramów, tworzenia trendów śledzonych zmian. Możliwość graficznej prezentacji w postaci histogramu wyniku segmentacji lub obszaru zainteresowania, wizualizacja zmian ilościowych, np. zmian rozmiaru albo objętości guza między różnymi punktami czasowymi badania MR. Oprogramowanie </w:t>
            </w:r>
            <w:proofErr w:type="spellStart"/>
            <w:r>
              <w:rPr>
                <w:lang w:eastAsia="ja-JP"/>
              </w:rPr>
              <w:t>OncoTrend</w:t>
            </w:r>
            <w:proofErr w:type="spellEnd"/>
            <w:r>
              <w:rPr>
                <w:lang w:eastAsia="ja-JP"/>
              </w:rPr>
              <w:t xml:space="preserve"> lub równoważne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2 licencje jednoczasowe lub pływające opisać nazwę aplikacji/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11.3.11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wieloparametrycznych badań MR prostaty,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dyfuzji, serii dynamicznych T1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automatyczne wyznaczanie objętości gruczołu prostaty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dedykowany raport zawierający: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 xml:space="preserve">listę znalezisk, pomiarów, zdjęć 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>czytelną wizualizację adresowaną dla urologów, na potrzeby wykonywania biopsji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raportowanie zgodne z PIRADS v2.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badań MR piersi,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serii dynamicznych z kontrastem 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parametrycznej analizy dynamiki obrazów MR piersi, realizujące: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model </w:t>
            </w:r>
            <w:proofErr w:type="spellStart"/>
            <w:r>
              <w:rPr>
                <w:lang w:val="en-US" w:eastAsia="ja-JP"/>
              </w:rPr>
              <w:t>jakościowy</w:t>
            </w:r>
            <w:proofErr w:type="spellEnd"/>
            <w:r>
              <w:rPr>
                <w:lang w:val="en-US" w:eastAsia="ja-JP"/>
              </w:rPr>
              <w:t>:  wash-in, wash-out, PEI (Positive Enhancement Integral)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analiza krzywej (on-the-</w:t>
            </w:r>
            <w:proofErr w:type="spellStart"/>
            <w:r>
              <w:rPr>
                <w:lang w:eastAsia="ja-JP"/>
              </w:rPr>
              <w:t>fly</w:t>
            </w:r>
            <w:proofErr w:type="spellEnd"/>
            <w:r>
              <w:rPr>
                <w:lang w:eastAsia="ja-JP"/>
              </w:rPr>
              <w:t xml:space="preserve">), na podstawie obszaru zainteresowania (ROI)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prezentacja analizy obrazów MR piersi ze statystyką wolumetryczną oraz krzywymi czasowymi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Aplikacja do analizy perfuzji T1, pozwalające uzyskać pomiary wzmocnienia względnego, wzmocnienia maksymalnego, czasu do wykrycia wartości szczytowej (TTP), przepuszczalności (</w:t>
            </w:r>
            <w:proofErr w:type="spellStart"/>
            <w:r>
              <w:rPr>
                <w:lang w:eastAsia="ja-JP"/>
              </w:rPr>
              <w:t>ktrans</w:t>
            </w:r>
            <w:proofErr w:type="spellEnd"/>
            <w:r>
              <w:rPr>
                <w:lang w:eastAsia="ja-JP"/>
              </w:rPr>
              <w:t xml:space="preserve">) i prędkość napływu środka kontrastowego, wizualizacja  4D badań dynamicznych organów, w których perfuzja może być opisana modelem </w:t>
            </w:r>
            <w:proofErr w:type="spellStart"/>
            <w:r>
              <w:rPr>
                <w:lang w:eastAsia="ja-JP"/>
              </w:rPr>
              <w:t>Tofts</w:t>
            </w:r>
            <w:proofErr w:type="spellEnd"/>
            <w:r>
              <w:rPr>
                <w:lang w:eastAsia="ja-JP"/>
              </w:rPr>
              <w:t>, np. prostaty.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11.3.15.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DTI z możliwością generowania i prezentacji map DTI (np. FA) i oraz generowania i prezentacji </w:t>
            </w:r>
            <w:proofErr w:type="spellStart"/>
            <w:r>
              <w:rPr>
                <w:lang w:eastAsia="ja-JP"/>
              </w:rPr>
              <w:t>traktografii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  <w:p w:rsidR="007A15F5" w:rsidRDefault="007A15F5" w:rsidP="007A15F5">
            <w:r>
              <w:rPr>
                <w:lang w:eastAsia="ja-JP"/>
              </w:rPr>
              <w:t>Dostawa now</w:t>
            </w:r>
            <w:r>
              <w:t>ej licencji pływającej na serwer aplikacyjny lub dostawa 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Tak; 1 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MR serca, zawierający 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przeglądanie i ocenę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czynnościowych (funkcjonalnych),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dynamicznych,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obrazów charakterystyki tkanki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danych przepływu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oraz narzędzia do pomiarów ilościowych objętości tkanki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serca MR z możliwością obliczania frakcji wyrzutowej i masy mięśnia sercowego lewej i prawej komory serca.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ilościowej przepływów w sercu i naczyniach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perfuzji serca MR z możliwością półautomatycznego obliczania parametrów perfuzji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 w:rsidRPr="001276DD">
              <w:rPr>
                <w:strike/>
                <w:color w:val="00B050"/>
                <w:lang w:eastAsia="ja-JP"/>
              </w:rPr>
              <w:t>1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 w:rsidR="00BC6FDD" w:rsidRPr="001276DD">
              <w:rPr>
                <w:color w:val="00B050"/>
                <w:lang w:eastAsia="ja-JP"/>
              </w:rPr>
              <w:t xml:space="preserve">3 </w:t>
            </w:r>
            <w:r w:rsidR="00BC6FDD">
              <w:rPr>
                <w:lang w:eastAsia="ja-JP"/>
              </w:rPr>
              <w:t>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Bez punktacji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struktury naczyniowej w badaniach MR z: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rozwinięciem wzdłuż linii centralnej naczynia,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pomiarem średnicy, pola przekroju w płaszczyźnie prostopadłej, światła naczynia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wyznaczaniem stopnia </w:t>
            </w:r>
            <w:proofErr w:type="spellStart"/>
            <w:r>
              <w:rPr>
                <w:lang w:eastAsia="ja-JP"/>
              </w:rPr>
              <w:t>stenozy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do dystrybucji prototypów aplikacji MR, dystrybuowanych przez Dział Rozwoju Aplikacji Wykonawcy lub aplikacji udostępnianych przez inne szpitale.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Pełna integracja oprogramowania klinicznego oraz prototypowego, </w:t>
            </w:r>
            <w:r>
              <w:rPr>
                <w:lang w:eastAsia="ja-JP"/>
              </w:rPr>
              <w:lastRenderedPageBreak/>
              <w:t xml:space="preserve">umożliwiająca bezpośredni dostęp z aplikacji klienckiej serwera aplikacyjnego do badań z użyciem oprogramowania prototypowego.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Czytelne oznaczenie aplikacji prototypowych: ‘Nie do zastosowań klinicznych’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Tak, podać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Zestaw dedykowanych aplikacji prototypowych, umożliwiający: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szybka ocena badań dyfuzji całego ciała (WB DWI).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Składanie serii DWI, kalkulacja map </w:t>
            </w:r>
            <w:proofErr w:type="spellStart"/>
            <w:r>
              <w:rPr>
                <w:lang w:eastAsia="ja-JP"/>
              </w:rPr>
              <w:t>computed</w:t>
            </w:r>
            <w:proofErr w:type="spellEnd"/>
            <w:r>
              <w:rPr>
                <w:lang w:eastAsia="ja-JP"/>
              </w:rPr>
              <w:t xml:space="preserve"> b-</w:t>
            </w:r>
            <w:proofErr w:type="spellStart"/>
            <w:r>
              <w:rPr>
                <w:lang w:eastAsia="ja-JP"/>
              </w:rPr>
              <w:t>value</w:t>
            </w:r>
            <w:proofErr w:type="spellEnd"/>
            <w:r>
              <w:rPr>
                <w:lang w:eastAsia="ja-JP"/>
              </w:rPr>
              <w:t xml:space="preserve"> z normalizacją do badań poprzednich. Segmentacja objętościowa o zadanym progu, analiza statystyczna, analiza na bazie histogramu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>zaawansowana ocena dyfuzji (modele IVIM and DKI)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proofErr w:type="spellStart"/>
            <w:r>
              <w:rPr>
                <w:lang w:eastAsia="ja-JP"/>
              </w:rPr>
              <w:t>deformowalna</w:t>
            </w:r>
            <w:proofErr w:type="spellEnd"/>
            <w:r>
              <w:rPr>
                <w:lang w:eastAsia="ja-JP"/>
              </w:rPr>
              <w:t xml:space="preserve"> elastyczna rejestracja 3D badań MR, na potrzeby porównywania badań tkanek miękkich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segmentacja struktur anatomicznych w oparciu o badania CT/MR na potrzeby wydruków 3D. Eksport w formacie .</w:t>
            </w:r>
            <w:proofErr w:type="spellStart"/>
            <w:r>
              <w:rPr>
                <w:lang w:eastAsia="ja-JP"/>
              </w:rPr>
              <w:t>stl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ocena ryzyka chorób układu krążenia. Ilościowa analiza tłuszczu w jamie brzusznej i osierdziowej, wyznaczanie objętości tłuszczu, tworzenie histogramów oraz inne pomiary, takie jak obwód talii lub średnice pacjenta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 xml:space="preserve">wyznaczanie koncentracji żelaza w badaniach </w:t>
            </w:r>
            <w:proofErr w:type="spellStart"/>
            <w:r>
              <w:rPr>
                <w:lang w:eastAsia="ja-JP"/>
              </w:rPr>
              <w:t>dwuenergetycznych</w:t>
            </w:r>
            <w:proofErr w:type="spellEnd"/>
            <w:r>
              <w:rPr>
                <w:lang w:eastAsia="ja-JP"/>
              </w:rPr>
              <w:t xml:space="preserve"> na potrzeby oceny hemochromatozy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6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dające możliwość natychmiastowego dostępu na oddziałach do badań dostępnych w ramach serwera aplikacyjnego (serwer dystrybucyjny umożliwiający otwierania badań z poziomu przeglądarek internetowych IE, SAFARI, ANDROID) także na urządzeniach przenośnych np. </w:t>
            </w:r>
            <w:proofErr w:type="spellStart"/>
            <w:r>
              <w:rPr>
                <w:lang w:eastAsia="ja-JP"/>
              </w:rPr>
              <w:t>iPad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umożliwiające podstawowe funkcjonalności do analizy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rekonstrukcje VRT, MIP, MPR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zmiana okna wyświetlania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biblioteka układu wyświetlania (</w:t>
            </w:r>
            <w:proofErr w:type="spellStart"/>
            <w:r>
              <w:rPr>
                <w:lang w:eastAsia="ja-JP"/>
              </w:rPr>
              <w:t>layouty</w:t>
            </w:r>
            <w:proofErr w:type="spellEnd"/>
            <w:r>
              <w:rPr>
                <w:lang w:eastAsia="ja-JP"/>
              </w:rPr>
              <w:t>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podstawowe</w:t>
            </w:r>
            <w:r>
              <w:t xml:space="preserve"> pomiary na obrazach: odległości, kąty, zaznaczenie-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kardiologicznych/naczyniowych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wieńcowych z funkcją: automatycznego wyodrębniania (segmentacji) mięśnia serca, rozwinięcia wzdłuż linii centralnej naczynia, pomiaru przekroju, pola i średnicy światła naczynia i automatycznego pomiaru stopnia </w:t>
            </w:r>
            <w:proofErr w:type="spellStart"/>
            <w:r>
              <w:t>stenozy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lastRenderedPageBreak/>
              <w:t xml:space="preserve">ocena parametrów czynnościowych lewej oraz prawej komory serca z pomiarem m.in.: objętości skurczowej, wyrzutowej, rozkurczowej, frakcji wyrzutowej, grubości ściany lub kurczliwości odcinkowej oraz wizualizacją w 2D parametrów funkcjonalnych w postaci 17-segmentowego diagramu AHA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t xml:space="preserve">ocena zwapnień naczyń wieńcowych typu </w:t>
            </w: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obwodowych (rozwinięcie wzdłuż linii centralnej naczynia, pomiary średnicy pola przekroju i automatyczne wyznaczanie </w:t>
            </w:r>
            <w:proofErr w:type="spellStart"/>
            <w:r>
              <w:t>stenoz</w:t>
            </w:r>
            <w:proofErr w:type="spellEnd"/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  <w:rPr>
                <w:lang w:eastAsia="ja-JP"/>
              </w:rPr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onkologicznych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segmentacja i prezentacja w 3D zmian w badaniach CT narządów miąższowych, w tym w wątrobie oraz w węzłach chłonnych wraz z automatycznym pomiarem zmiany zgodnie z RECIST 1,1 WHO i jej objętości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detekcja zmian guzkowych w miąższu płuc i </w:t>
            </w:r>
            <w:proofErr w:type="spellStart"/>
            <w:r>
              <w:t>podopłucnowych</w:t>
            </w:r>
            <w:proofErr w:type="spellEnd"/>
            <w:r>
              <w:t xml:space="preserve"> typu CAD</w:t>
            </w:r>
          </w:p>
          <w:p w:rsidR="007A15F5" w:rsidRDefault="007A15F5" w:rsidP="007A15F5">
            <w:pPr>
              <w:spacing w:after="40" w:line="252" w:lineRule="auto"/>
              <w:rPr>
                <w:sz w:val="24"/>
                <w:szCs w:val="24"/>
              </w:rPr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neurologicznych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badań perfuzji mózgu umożliwiająca ocenę ilościową i jakościową (mapy barwne) co najmniej następujących parametrów: </w:t>
            </w:r>
            <w:proofErr w:type="spellStart"/>
            <w:r>
              <w:t>rBF</w:t>
            </w:r>
            <w:proofErr w:type="spellEnd"/>
            <w:r>
              <w:t xml:space="preserve"> (miejscowy przepływ krwi), </w:t>
            </w:r>
            <w:proofErr w:type="spellStart"/>
            <w:r>
              <w:t>rBV</w:t>
            </w:r>
            <w:proofErr w:type="spellEnd"/>
            <w:r>
              <w:t xml:space="preserve"> (miejscowa objętość krwi) oraz TTP (czas do szczytu krzywej wzmocnienia) i MTT (średni czas przejścia).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automatycznej segmentacji 3D i oceny krwiaków w mózgu z serii bez kontrastu wraz z obliczaniem objętości krwiaka oraz jego krótkiej i długiej osi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segmentacji 3D i oceny tętniaków w mózgu z serii z kontrastem wraz z obliczaniem objętości tętniaka, minimalnej i maksymalnej długości tętniaka oraz maksymalnej i minimalnej średnicy szyjki tętniaka</w:t>
            </w:r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Środowisko programistyczne służące do tworzenia i modyfikowania </w:t>
            </w:r>
            <w:r>
              <w:lastRenderedPageBreak/>
              <w:t xml:space="preserve">sekwencji i algorytmów rekonstrukcji (IDEA, ORCHESTRA </w:t>
            </w:r>
            <w:r>
              <w:rPr>
                <w:lang w:eastAsia="ja-JP"/>
              </w:rPr>
              <w:t>lub odpowiednio do nomenklatury producenta</w:t>
            </w:r>
            <w:r>
              <w:t>)</w:t>
            </w:r>
            <w:r w:rsidR="00AF1C61">
              <w:t xml:space="preserve"> </w:t>
            </w:r>
            <w:r w:rsidR="00AF1C61" w:rsidRPr="00F62AA4">
              <w:rPr>
                <w:color w:val="00B050"/>
              </w:rPr>
              <w:t>(prosimy o uwzględnienie szkolenia dla przynajmniej 4 uczestników)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</w:t>
            </w:r>
            <w:proofErr w:type="spellStart"/>
            <w:r>
              <w:t>syntheticMR</w:t>
            </w:r>
            <w:proofErr w:type="spellEnd"/>
            <w:r>
              <w:t xml:space="preserve"> do analizy sekwencji  MAGIC, MDME lub odpowiednik wg nomenklatury producenta), które generuje obrazy ważone kontrastem w oparciu o pomiary właściwości tkanek z jednej akwizycji. Oprogramowanie pozwala na utworzenie zestawu obrazów T1, T2, FLAIR, PD i STIR oraz mapy czasów relaksacji T1, T2, koncentracji </w:t>
            </w:r>
            <w:proofErr w:type="spellStart"/>
            <w:r>
              <w:t>mieliny</w:t>
            </w:r>
            <w:proofErr w:type="spellEnd"/>
            <w: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</w:t>
            </w:r>
            <w:r>
              <w:rPr>
                <w:lang w:eastAsia="ja-JP"/>
              </w:rPr>
              <w:t xml:space="preserve">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11.3.30.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CIRCLE CVI służące do podstawowej analizy badań serca MR wraz z pakietem do opracowywania badań 4D </w:t>
            </w:r>
            <w:proofErr w:type="spellStart"/>
            <w:r>
              <w:t>Flow</w:t>
            </w:r>
            <w:proofErr w:type="spellEnd"/>
            <w:r>
              <w:t xml:space="preserve"> i </w:t>
            </w:r>
            <w:r w:rsidR="00BC6FDD">
              <w:t>oceny ilościowej perfuzji serca</w:t>
            </w:r>
          </w:p>
          <w:p w:rsidR="00BC6FDD" w:rsidRDefault="00BC6FDD" w:rsidP="007A15F5">
            <w:r w:rsidRPr="00237D65">
              <w:rPr>
                <w:color w:val="00B050"/>
              </w:rPr>
              <w:t>Dostawa dodatkowej licencji, niezależnej od ilości licencji wymaganych w punktach 11.3.18 – 11.3.20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b/>
                <w:bCs/>
                <w:lang w:eastAsia="ja-JP"/>
              </w:rPr>
              <w:t>12. WYPOSAŻENIE PRACOWNI</w:t>
            </w:r>
          </w:p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 xml:space="preserve">Kabina RF (1 okno, 1 drzwi) z dostawą, montażem i wykończeniem wnętrza o najwyższym stopniu tłumienia akustycznego. </w:t>
            </w:r>
            <w:r>
              <w:rPr>
                <w:color w:val="000000" w:themeColor="text1"/>
                <w:lang w:eastAsia="ja-JP"/>
              </w:rPr>
              <w:t xml:space="preserve">Kabina wyposażona w szafkę / -ki na dostarczane cewki, zapewniającą ich bezpieczne i ergonomiczne przechowywanie. Kabina wyposażona w gniazda zasilania 230V / 50Hz (min 8 gniazd), gniazda gazów medycznych (standard AGA) – tlen, próżnia, powietrze; przepusty i filtry do podłączenia okablowania </w:t>
            </w:r>
            <w:proofErr w:type="spellStart"/>
            <w:r>
              <w:rPr>
                <w:color w:val="000000" w:themeColor="text1"/>
                <w:lang w:eastAsia="ja-JP"/>
              </w:rPr>
              <w:t>wstrzykiwaczy</w:t>
            </w:r>
            <w:proofErr w:type="spellEnd"/>
            <w:r>
              <w:rPr>
                <w:color w:val="000000" w:themeColor="text1"/>
                <w:lang w:eastAsia="ja-JP"/>
              </w:rPr>
              <w:t xml:space="preserve"> kontrastu, kardiomonitora, oświetlenie podstawowe, wyłączniki awaryjne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Dwugłowicowy automatyczny </w:t>
            </w:r>
            <w:proofErr w:type="spellStart"/>
            <w:r>
              <w:rPr>
                <w:lang w:eastAsia="ja-JP"/>
              </w:rPr>
              <w:t>wstrzykiwacz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bezwkładowy</w:t>
            </w:r>
            <w:proofErr w:type="spellEnd"/>
            <w:r>
              <w:rPr>
                <w:lang w:eastAsia="ja-JP"/>
              </w:rPr>
              <w:t xml:space="preserve"> do podawania środka kontrastowego, zapewniający brak zakłóceń ze skanerem w polu </w:t>
            </w:r>
            <w:r>
              <w:t xml:space="preserve">≥ </w:t>
            </w:r>
            <w:r>
              <w:rPr>
                <w:lang w:eastAsia="ja-JP"/>
              </w:rPr>
              <w:t>3T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Gaśnica niemagnetyczna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Niemagnetyczna leżanka do transportu chorych leżących z pneumatyczną lub hydrauliczną regulacją wysokości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Niemagnetyczny wózek do transportu chorych w pozycji siedzącej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Kardiomonitor pracujący w środowisku MR wyposażony w czujniki wraz z niemagnetycznym stojakiem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fantomów do kalibracji systemu i oferowanych cewek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audio do odsłuchu muzyki przez pacjenta w trakcie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Wykonanie graficznej aranżacji pracowni rezonansu magnetycznego (np. </w:t>
            </w:r>
            <w:r>
              <w:lastRenderedPageBreak/>
              <w:t xml:space="preserve">tapety, zdjęcia na ścianach pracowni oraz korelujące z nimi motywy graficzne na rezonansie magnetycznym) w uzgodnieniu z Zamawiającym. 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Zestaw urządzeń potrzebnych do wykonywania badań funkcjonalnych mózgu </w:t>
            </w:r>
            <w:proofErr w:type="spellStart"/>
            <w:r>
              <w:t>fMRI</w:t>
            </w:r>
            <w:proofErr w:type="spellEnd"/>
            <w:r>
              <w:t xml:space="preserve"> składający się co najmniej z: urządzenie do prezentacji audiowizualnej bodźców wewnątrz skanera, urządzenie do synchronizacji bodźców, urządzenie do odbierania odpowiedzi od </w:t>
            </w:r>
            <w:bookmarkStart w:id="2" w:name="_GoBack1"/>
            <w:bookmarkEnd w:id="2"/>
            <w:r>
              <w:t>pacjenta (joysticki), oprogramowanie do prezentacji bodźców, komputer dedykowany do oprogramowania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13. WYMAGANIA UZUPEŁNIAJĄCE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Aparat MR oraz wszystkie elementy składowe i wyposażenie fabrycznie nowe, z bieżącej produkcji, nie powystawowe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Rok produkcji aparatu MR </w:t>
            </w:r>
            <w:r>
              <w:rPr>
                <w:bCs/>
              </w:rPr>
              <w:t xml:space="preserve">oraz wszystkich elementów składowych i </w:t>
            </w:r>
            <w:r w:rsidRPr="00C27EEF">
              <w:rPr>
                <w:bCs/>
                <w:color w:val="auto"/>
              </w:rPr>
              <w:t xml:space="preserve">wyposażenia </w:t>
            </w:r>
            <w:r w:rsidR="004C1A4A" w:rsidRPr="00C27EEF">
              <w:rPr>
                <w:color w:val="auto"/>
              </w:rPr>
              <w:t>nie starszy niż 2020 lub z bieżącej produkcji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</w:rPr>
              <w:t>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Uzupełnienie helu w magnesie do maksymalnego poziomu eksploatacyjnego zalecanego przez producenta przed przekazaniem uruchomionego systemu do eksploatacji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Tak;</w:t>
            </w:r>
          </w:p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 xml:space="preserve">Min. 85%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AF1C61" w:rsidRDefault="007A15F5" w:rsidP="007A15F5">
            <w:pPr>
              <w:spacing w:before="40" w:after="40"/>
              <w:rPr>
                <w:strike/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Instrukcja obsługi w języku polskim w formie papierowej i elektronicznej do wszystkich oferowanych składowych systemu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FD18DC" w:rsidTr="008E460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napToGrid w:val="0"/>
              <w:spacing w:before="40" w:after="40"/>
            </w:pPr>
            <w:r>
              <w:t>13.5.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Okres gwarancji min. 36 miesięcy od daty podpisania przez strony protokołu końcowego uruchomienia aparatu </w:t>
            </w:r>
            <w:r w:rsidR="00D71E9B">
              <w:rPr>
                <w:bCs/>
                <w:lang w:eastAsia="ja-JP"/>
              </w:rPr>
              <w:t>.</w:t>
            </w:r>
          </w:p>
          <w:p w:rsidR="00D71E9B" w:rsidRPr="00AF1C61" w:rsidRDefault="00D71E9B" w:rsidP="007A15F5">
            <w:pPr>
              <w:spacing w:before="40" w:after="40"/>
              <w:rPr>
                <w:bCs/>
                <w:strike/>
                <w:lang w:eastAsia="ja-JP"/>
              </w:rPr>
            </w:pPr>
            <w:r w:rsidRPr="00237D65">
              <w:rPr>
                <w:rFonts w:cs="Calibri"/>
                <w:b/>
                <w:i/>
                <w:strike/>
                <w:color w:val="00B050"/>
              </w:rPr>
              <w:t>Okres gwarancji jest jednym z kryteriów oceny ofert.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4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B2839" w:rsidRDefault="002B2839" w:rsidP="007A15F5">
            <w:pPr>
              <w:spacing w:before="40" w:after="40"/>
            </w:pPr>
          </w:p>
          <w:p w:rsidR="00FD18DC" w:rsidRDefault="00FD18DC" w:rsidP="007A15F5">
            <w:pPr>
              <w:spacing w:before="40" w:after="40"/>
            </w:pPr>
            <w:r>
              <w:t>Podać w miesiącach ……………………….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 ramach gwarancji, przeglądy okresowe w całym okresie jej trwania zgodnie z zaleceniami producenta, wraz z wszystkimi częściami niezbędnymi do wykonania przeglądu.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Wykonanie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pomiarów </w:t>
            </w:r>
            <w:r>
              <w:rPr>
                <w:rFonts w:ascii="Times New Roman" w:hAnsi="Times New Roman"/>
                <w:sz w:val="20"/>
              </w:rPr>
              <w:t>natężenia pola magnetycznego oraz testów wszystkich systemów aparatu.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/>
              </w:rPr>
              <w:t>Przeszkolenie personelu technicznego w zakresie podstawowej obsługi, eksploatacji, konserwacji</w:t>
            </w:r>
            <w:r>
              <w:t xml:space="preserve"> i przeszkolenie personelu pracowni z zakresu bezpiecznej pracy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Szkolenia aplikacyjne dla lekarzy, fizyków i techników w siedzibie zamawiającego w wymiarze min. 15 </w:t>
            </w:r>
            <w:r>
              <w:rPr>
                <w:color w:val="000000" w:themeColor="text1"/>
              </w:rPr>
              <w:t>dni w okresie gwarancji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Podać ilość dni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≥16 dni - 2 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t>&lt;16 dni - 0 pkt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Możliwość przeprowadzania zdalnej diagnostyki serwisowej aparatu MR 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za pomocą sieci teleinformatycznej, poprzez zestawiane pod kontrolą Zamawiającego, chronione regułami VPN łącze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13.11.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Dokumentacja powykonawcza wykonania prac instalacyjnych w 2 egzemplarzach w formie papierowej i 1 egzemplarz w formie elektronicznej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Wszystkie oferowane urządzenia muszą być oznakowanie znakiem CE. </w:t>
            </w:r>
          </w:p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Oznakowanie CE rezonansu magnetycznego należy potwierdzić certyfikatem CE lub deklaracją zgodności (które należy złożyć w odpowiedzi na wezwanie Zamawiającego)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Autoryzowany serwis gwarancyjny i</w:t>
            </w:r>
            <w:r w:rsidR="0082345B">
              <w:t xml:space="preserve"> pogwarancyjny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Wraz z urządzeniem dostarczone: wykaz autoryzowanych punktów serwisowych na terenie kraju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Maksymalny pobór mocy urządzenia &lt;150kVA</w:t>
            </w:r>
          </w:p>
          <w:p w:rsidR="007A15F5" w:rsidRDefault="007A15F5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Wykorzystanie przygotowanej przez Zamawiającego infrastruktury (zasilanie MR, system chłodzenia MR i pomieszczenia technicznego, awaryjny wyrzut helu), a w przypadku konieczności zmian lub modernizacji – w koszcie oferty</w:t>
            </w:r>
          </w:p>
          <w:p w:rsidR="00813532" w:rsidRDefault="00813532" w:rsidP="007A15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 xml:space="preserve">Podać w </w:t>
            </w:r>
            <w:proofErr w:type="spellStart"/>
            <w:r>
              <w:rPr>
                <w:color w:val="000000" w:themeColor="text1"/>
                <w:lang w:eastAsia="ja-JP"/>
              </w:rPr>
              <w:t>kVA</w:t>
            </w:r>
            <w:proofErr w:type="spellEnd"/>
          </w:p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</w:p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potrzebnej do zasilania MR – 5pkt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chłodzenia aparatu MR – 5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color w:val="000000" w:themeColor="text1"/>
              </w:rPr>
              <w:t>13.16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F34157" w:rsidP="007A15F5">
            <w:pPr>
              <w:jc w:val="both"/>
              <w:rPr>
                <w:color w:val="000000" w:themeColor="text1"/>
              </w:rPr>
            </w:pPr>
            <w:r w:rsidRPr="00237D65">
              <w:rPr>
                <w:color w:val="00B050"/>
              </w:rPr>
              <w:t xml:space="preserve">1. </w:t>
            </w:r>
            <w:r w:rsidR="007A15F5">
              <w:t>Szkolenia aplikacyjne dla lekarzy, fizyków i techników poza siedzibą zamawiającego w wymiarze min. 30 osobo</w:t>
            </w:r>
            <w:r w:rsidR="007A15F5">
              <w:rPr>
                <w:color w:val="000000" w:themeColor="text1"/>
              </w:rPr>
              <w:t>dni w okresie gwarancji</w:t>
            </w:r>
            <w:r>
              <w:rPr>
                <w:color w:val="000000" w:themeColor="text1"/>
              </w:rPr>
              <w:t xml:space="preserve"> </w:t>
            </w:r>
          </w:p>
          <w:p w:rsidR="00F34157" w:rsidRPr="00237D65" w:rsidRDefault="00F34157" w:rsidP="007A15F5">
            <w:pPr>
              <w:jc w:val="both"/>
              <w:rPr>
                <w:color w:val="00B050"/>
              </w:rPr>
            </w:pPr>
            <w:r w:rsidRPr="00237D65">
              <w:rPr>
                <w:color w:val="00B050"/>
              </w:rPr>
              <w:t>Lub</w:t>
            </w:r>
          </w:p>
          <w:p w:rsidR="00F34157" w:rsidRDefault="00F34157" w:rsidP="00F34157">
            <w:pPr>
              <w:jc w:val="both"/>
            </w:pPr>
            <w:r w:rsidRPr="00237D65">
              <w:rPr>
                <w:color w:val="00B050"/>
              </w:rPr>
              <w:t>2. Szkolenia/Kursy zdalne dla lekarzy, fizyków i techników w wymiarze minimum 30 dni bez limitu uczestników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  <w:lang w:eastAsia="ja-JP"/>
              </w:rPr>
              <w:t>Tak</w:t>
            </w:r>
            <w:r w:rsidR="0048756D" w:rsidRPr="00237D65">
              <w:rPr>
                <w:strike/>
                <w:color w:val="00B050"/>
                <w:lang w:eastAsia="ja-JP"/>
              </w:rPr>
              <w:t xml:space="preserve"> </w:t>
            </w:r>
            <w:r w:rsidR="00F34157" w:rsidRPr="00237D65">
              <w:rPr>
                <w:color w:val="00B050"/>
                <w:lang w:eastAsia="ja-JP"/>
              </w:rPr>
              <w:t>Podać 1 lub 2 oraz oferowaną długość szkoleń w osobodniach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≥32 osobodni - 2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 xml:space="preserve">&lt;32 osobodni - 0 pkt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Koszt pełnej obsługi serwisowej w okresie gwarancji; obejmującej przeglądy, w tym przegląd w ostatnim miesiącu gwarancji i naprawy gwarancyjne; zawarty w cenie przedmiotu zamówienia. </w:t>
            </w:r>
          </w:p>
          <w:p w:rsidR="007A15F5" w:rsidRDefault="007A15F5" w:rsidP="007A15F5">
            <w:r>
              <w:t>Podać zalecaną przez producenta częstość przeglądów w okresie gwarancji i po gwarancji.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Zagwarantowanie dostępności serwisu, oprogramowania i części zamiennych przez co najmniej 10 lat od daty dostawy.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Paszport techniczny z informacjami zawierającymi datę zainstalowania urządzenia i termin następnego przeglądu (jeżeli wymagany)</w:t>
            </w:r>
          </w:p>
          <w:p w:rsidR="007A15F5" w:rsidRDefault="007A15F5" w:rsidP="007A15F5">
            <w:r>
              <w:t>Dostarczyć wraz z dostawą przedmiotu zamówienia.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F34157">
            <w:r>
              <w:t xml:space="preserve">Czas usunięcia przez serwis Wykonawcy do usterki w ciągu </w:t>
            </w:r>
            <w:r w:rsidRPr="00F34157">
              <w:rPr>
                <w:strike/>
                <w:color w:val="FF0000"/>
              </w:rPr>
              <w:t>5</w:t>
            </w:r>
            <w:r>
              <w:t xml:space="preserve"> </w:t>
            </w:r>
            <w:r w:rsidR="00F34157">
              <w:rPr>
                <w:color w:val="FF0000"/>
              </w:rPr>
              <w:t xml:space="preserve"> 7 </w:t>
            </w:r>
            <w:r>
              <w:t>dni roboczych od momentu zgłoszenia awarii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</w:tbl>
    <w:p w:rsidR="00B17D7B" w:rsidRDefault="00B17D7B"/>
    <w:p w:rsidR="00883F2C" w:rsidRDefault="00883F2C"/>
    <w:p w:rsidR="006E2595" w:rsidRPr="00F34EAE" w:rsidRDefault="00F34EAE" w:rsidP="00F34EAE">
      <w:pPr>
        <w:pStyle w:val="Tekstpodstawowywcity2"/>
        <w:spacing w:after="0" w:line="240" w:lineRule="auto"/>
        <w:ind w:left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6E2595" w:rsidRPr="00F34EAE">
        <w:rPr>
          <w:i/>
        </w:rPr>
        <w:t>…………………………..…..................……..........………………...</w:t>
      </w:r>
    </w:p>
    <w:p w:rsidR="006E2595" w:rsidRPr="00F34EAE" w:rsidRDefault="00F34EAE" w:rsidP="00F34EAE">
      <w:pPr>
        <w:pStyle w:val="Nagwek1"/>
        <w:ind w:left="4248" w:firstLine="708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 xml:space="preserve">                         </w:t>
      </w:r>
      <w:r w:rsidR="006E2595" w:rsidRPr="00F34EAE">
        <w:rPr>
          <w:rFonts w:ascii="Times New Roman" w:hAnsi="Times New Roman"/>
          <w:b w:val="0"/>
          <w:color w:val="auto"/>
          <w:sz w:val="20"/>
        </w:rPr>
        <w:t>podpis i pieczątka imienna osoby/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ób</w:t>
      </w:r>
      <w:proofErr w:type="spellEnd"/>
      <w:r w:rsidR="006E2595" w:rsidRPr="00F34EAE">
        <w:rPr>
          <w:rFonts w:ascii="Times New Roman" w:hAnsi="Times New Roman"/>
          <w:b w:val="0"/>
          <w:color w:val="auto"/>
          <w:sz w:val="20"/>
        </w:rPr>
        <w:t xml:space="preserve"> upoważnionej/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nych</w:t>
      </w:r>
      <w:proofErr w:type="spellEnd"/>
    </w:p>
    <w:p w:rsidR="006E2595" w:rsidRPr="00F34EAE" w:rsidRDefault="00F34EAE" w:rsidP="00F34EAE">
      <w:pPr>
        <w:jc w:val="center"/>
      </w:pPr>
      <w:r>
        <w:t xml:space="preserve">                                                                                                                           </w:t>
      </w:r>
      <w:r w:rsidR="006E2595" w:rsidRPr="00F34EAE">
        <w:t>do występowania w imieniu wykonawcy</w:t>
      </w:r>
    </w:p>
    <w:sectPr w:rsidR="006E2595" w:rsidRPr="00F34EAE" w:rsidSect="00A52932">
      <w:headerReference w:type="default" r:id="rId9"/>
      <w:footerReference w:type="default" r:id="rId10"/>
      <w:pgSz w:w="16838" w:h="11906" w:orient="landscape" w:code="9"/>
      <w:pgMar w:top="1128" w:right="1418" w:bottom="1134" w:left="1418" w:header="425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66" w:rsidRDefault="00DA4E66" w:rsidP="004C71DC">
      <w:r>
        <w:separator/>
      </w:r>
    </w:p>
  </w:endnote>
  <w:endnote w:type="continuationSeparator" w:id="0">
    <w:p w:rsidR="00DA4E66" w:rsidRDefault="00DA4E66" w:rsidP="004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Inspira">
    <w:altName w:val="Times New Roman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123072871"/>
      <w:docPartObj>
        <w:docPartGallery w:val="Page Numbers (Bottom of Page)"/>
        <w:docPartUnique/>
      </w:docPartObj>
    </w:sdtPr>
    <w:sdtEndPr/>
    <w:sdtContent>
      <w:p w:rsidR="001C12E4" w:rsidRDefault="001C12E4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</w:p>
      <w:p w:rsidR="001C12E4" w:rsidRPr="00E80342" w:rsidRDefault="001C12E4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E80342">
          <w:rPr>
            <w:sz w:val="18"/>
            <w:szCs w:val="18"/>
          </w:rPr>
          <w:instrText>PAGE    \* MERGEFORMAT</w:instrTex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140E6" w:rsidRPr="000140E6">
          <w:rPr>
            <w:rFonts w:asciiTheme="majorHAnsi" w:eastAsiaTheme="majorEastAsia" w:hAnsiTheme="majorHAnsi" w:cstheme="majorBidi"/>
            <w:noProof/>
            <w:sz w:val="18"/>
            <w:szCs w:val="18"/>
          </w:rPr>
          <w:t>25</w:t>
        </w: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66" w:rsidRDefault="00DA4E66" w:rsidP="004C71DC">
      <w:r>
        <w:separator/>
      </w:r>
    </w:p>
  </w:footnote>
  <w:footnote w:type="continuationSeparator" w:id="0">
    <w:p w:rsidR="00DA4E66" w:rsidRDefault="00DA4E66" w:rsidP="004C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4" w:rsidRPr="005C19CE" w:rsidRDefault="001C12E4" w:rsidP="005C19CE">
    <w:pPr>
      <w:pStyle w:val="Nagwek"/>
      <w:spacing w:before="0" w:after="0"/>
      <w:rPr>
        <w:rFonts w:asciiTheme="minorHAnsi" w:hAnsiTheme="minorHAnsi"/>
        <w:b/>
        <w:sz w:val="20"/>
        <w:szCs w:val="20"/>
      </w:rPr>
    </w:pPr>
    <w:r w:rsidRPr="005C19CE">
      <w:rPr>
        <w:rFonts w:asciiTheme="minorHAnsi" w:hAnsiTheme="minorHAnsi"/>
        <w:b/>
        <w:sz w:val="20"/>
        <w:szCs w:val="20"/>
      </w:rPr>
      <w:t>Postępowanie nr ZP/67/2020</w:t>
    </w:r>
  </w:p>
  <w:p w:rsidR="001C12E4" w:rsidRPr="005C19CE" w:rsidRDefault="001C12E4" w:rsidP="005C19CE">
    <w:pPr>
      <w:pStyle w:val="Tretekstu"/>
      <w:jc w:val="left"/>
      <w:rPr>
        <w:rFonts w:asciiTheme="minorHAnsi" w:hAnsiTheme="minorHAnsi"/>
      </w:rPr>
    </w:pPr>
    <w:r w:rsidRPr="005C19CE">
      <w:rPr>
        <w:rFonts w:asciiTheme="minorHAnsi" w:hAnsiTheme="minorHAnsi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53A"/>
    <w:multiLevelType w:val="multilevel"/>
    <w:tmpl w:val="115C4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8419C"/>
    <w:multiLevelType w:val="multilevel"/>
    <w:tmpl w:val="94B44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66B5D63"/>
    <w:multiLevelType w:val="multilevel"/>
    <w:tmpl w:val="EA64B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D86481"/>
    <w:multiLevelType w:val="multilevel"/>
    <w:tmpl w:val="F648D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314298"/>
    <w:multiLevelType w:val="multilevel"/>
    <w:tmpl w:val="06A8B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5B3D81"/>
    <w:multiLevelType w:val="multilevel"/>
    <w:tmpl w:val="973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rM0MzezNDcyMzRS0lEKTi0uzszPAykwrgUAcoHh3ywAAAA="/>
  </w:docVars>
  <w:rsids>
    <w:rsidRoot w:val="00B17D7B"/>
    <w:rsid w:val="000140E6"/>
    <w:rsid w:val="000A4F14"/>
    <w:rsid w:val="000C247F"/>
    <w:rsid w:val="001276DD"/>
    <w:rsid w:val="00130E17"/>
    <w:rsid w:val="00131AEB"/>
    <w:rsid w:val="00131B75"/>
    <w:rsid w:val="00143A9D"/>
    <w:rsid w:val="00153B31"/>
    <w:rsid w:val="00163FF8"/>
    <w:rsid w:val="0018162B"/>
    <w:rsid w:val="001C12E4"/>
    <w:rsid w:val="001C585D"/>
    <w:rsid w:val="002156A4"/>
    <w:rsid w:val="00224A9D"/>
    <w:rsid w:val="00237D65"/>
    <w:rsid w:val="002B2839"/>
    <w:rsid w:val="002F5F84"/>
    <w:rsid w:val="003C3EC9"/>
    <w:rsid w:val="003C7E2C"/>
    <w:rsid w:val="004138BC"/>
    <w:rsid w:val="0045605F"/>
    <w:rsid w:val="0048756D"/>
    <w:rsid w:val="00493CC8"/>
    <w:rsid w:val="004C1A4A"/>
    <w:rsid w:val="004C6F63"/>
    <w:rsid w:val="004C71DC"/>
    <w:rsid w:val="004F1026"/>
    <w:rsid w:val="005430DB"/>
    <w:rsid w:val="005A3676"/>
    <w:rsid w:val="005C19CE"/>
    <w:rsid w:val="005D368E"/>
    <w:rsid w:val="0060608D"/>
    <w:rsid w:val="00624572"/>
    <w:rsid w:val="00643D5E"/>
    <w:rsid w:val="006E2595"/>
    <w:rsid w:val="00763870"/>
    <w:rsid w:val="00784877"/>
    <w:rsid w:val="007A15F5"/>
    <w:rsid w:val="00801EBE"/>
    <w:rsid w:val="00813532"/>
    <w:rsid w:val="00817DFD"/>
    <w:rsid w:val="0082345B"/>
    <w:rsid w:val="008700F3"/>
    <w:rsid w:val="00883F2C"/>
    <w:rsid w:val="008C063E"/>
    <w:rsid w:val="008E4608"/>
    <w:rsid w:val="008F213A"/>
    <w:rsid w:val="0090313E"/>
    <w:rsid w:val="00917449"/>
    <w:rsid w:val="009401C7"/>
    <w:rsid w:val="0096768A"/>
    <w:rsid w:val="009C76FA"/>
    <w:rsid w:val="00A31653"/>
    <w:rsid w:val="00A52932"/>
    <w:rsid w:val="00A563C9"/>
    <w:rsid w:val="00A76C68"/>
    <w:rsid w:val="00AD4447"/>
    <w:rsid w:val="00AF1C61"/>
    <w:rsid w:val="00AF7F0F"/>
    <w:rsid w:val="00B0413F"/>
    <w:rsid w:val="00B17D7B"/>
    <w:rsid w:val="00B40C04"/>
    <w:rsid w:val="00B8391B"/>
    <w:rsid w:val="00BC6FDD"/>
    <w:rsid w:val="00C168F0"/>
    <w:rsid w:val="00C27EEF"/>
    <w:rsid w:val="00C41353"/>
    <w:rsid w:val="00C55DDB"/>
    <w:rsid w:val="00C56819"/>
    <w:rsid w:val="00C648A5"/>
    <w:rsid w:val="00C92CB4"/>
    <w:rsid w:val="00CA6F36"/>
    <w:rsid w:val="00CC65C4"/>
    <w:rsid w:val="00CD0C4D"/>
    <w:rsid w:val="00D71E9B"/>
    <w:rsid w:val="00DA4E66"/>
    <w:rsid w:val="00DB1EA1"/>
    <w:rsid w:val="00DB24CC"/>
    <w:rsid w:val="00DB327E"/>
    <w:rsid w:val="00DE54E8"/>
    <w:rsid w:val="00E80342"/>
    <w:rsid w:val="00EE7171"/>
    <w:rsid w:val="00F15AD1"/>
    <w:rsid w:val="00F34157"/>
    <w:rsid w:val="00F34EAE"/>
    <w:rsid w:val="00F62AA4"/>
    <w:rsid w:val="00F726DB"/>
    <w:rsid w:val="00F92EE2"/>
    <w:rsid w:val="00FC059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BB26-311C-48F9-9264-F3765CAD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9224</Words>
  <Characters>55348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4</cp:revision>
  <cp:lastPrinted>2020-08-19T12:06:00Z</cp:lastPrinted>
  <dcterms:created xsi:type="dcterms:W3CDTF">2020-08-19T11:54:00Z</dcterms:created>
  <dcterms:modified xsi:type="dcterms:W3CDTF">2020-08-19T12:08:00Z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