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506621C0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="00BF668D">
        <w:rPr>
          <w:rFonts w:cstheme="minorHAnsi"/>
          <w:b/>
          <w:sz w:val="20"/>
          <w:szCs w:val="20"/>
        </w:rPr>
        <w:t>6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3872F9F5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BF668D" w:rsidRPr="00BF668D">
        <w:t>Samochody pożarnicze do działań z zakresu zwalczania zagrożeń dla środowiska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72D95C8A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BF668D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F668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16</cp:revision>
  <dcterms:created xsi:type="dcterms:W3CDTF">2022-05-10T07:08:00Z</dcterms:created>
  <dcterms:modified xsi:type="dcterms:W3CDTF">2024-08-08T09:53:00Z</dcterms:modified>
</cp:coreProperties>
</file>