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.4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354014">
        <w:rPr>
          <w:rFonts w:ascii="Times New Roman" w:eastAsia="Calibri" w:hAnsi="Times New Roman" w:cs="Times New Roman"/>
          <w:sz w:val="18"/>
          <w:lang w:eastAsia="en-US"/>
        </w:rPr>
        <w:t>5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5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</w:t>
      </w:r>
      <w:bookmarkStart w:id="0" w:name="_GoBack"/>
      <w:bookmarkEnd w:id="0"/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część II</w:t>
      </w:r>
    </w:p>
    <w:p w:rsidR="00DB1B47" w:rsidRDefault="00DB1B4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06B0B" w:rsidRPr="00906B0B" w:rsidRDefault="00906B0B" w:rsidP="0090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B0B">
        <w:rPr>
          <w:rFonts w:ascii="Times New Roman" w:eastAsia="Times New Roman" w:hAnsi="Times New Roman" w:cs="Times New Roman"/>
          <w:sz w:val="24"/>
          <w:szCs w:val="24"/>
        </w:rPr>
        <w:t>Zadanie nr 4</w:t>
      </w:r>
    </w:p>
    <w:p w:rsidR="00906B0B" w:rsidRPr="00906B0B" w:rsidRDefault="00906B0B" w:rsidP="0090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B0B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906B0B" w:rsidRPr="00906B0B" w:rsidRDefault="00906B0B" w:rsidP="00906B0B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:rsidR="00906B0B" w:rsidRPr="00906B0B" w:rsidRDefault="00906B0B" w:rsidP="00906B0B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bCs/>
          <w:sz w:val="32"/>
          <w:szCs w:val="20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5"/>
        <w:gridCol w:w="7080"/>
      </w:tblGrid>
      <w:tr w:rsidR="00906B0B" w:rsidRPr="00906B0B" w:rsidTr="00906B0B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Cykl szkoleń dla administratorów policyjnych zasobów teleinformatycznych</w:t>
            </w:r>
          </w:p>
        </w:tc>
      </w:tr>
      <w:tr w:rsidR="00906B0B" w:rsidRPr="00906B0B" w:rsidTr="00906B0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Temat szkolenia</w:t>
            </w: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en-US"/>
              </w:rPr>
            </w:pPr>
            <w:r w:rsidRPr="00906B0B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Szkolenie </w:t>
            </w:r>
            <w:proofErr w:type="spellStart"/>
            <w:r w:rsidRPr="00906B0B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Certified</w:t>
            </w:r>
            <w:proofErr w:type="spellEnd"/>
            <w:r w:rsidRPr="00906B0B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B0B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Ethical</w:t>
            </w:r>
            <w:proofErr w:type="spellEnd"/>
            <w:r w:rsidRPr="00906B0B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Hacker</w:t>
            </w:r>
          </w:p>
        </w:tc>
      </w:tr>
      <w:tr w:rsidR="00906B0B" w:rsidRPr="00906B0B" w:rsidTr="00906B0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6B0B">
              <w:rPr>
                <w:rFonts w:ascii="Calibri" w:eastAsia="Times New Roman" w:hAnsi="Calibri" w:cs="Calibri"/>
                <w:b/>
                <w:sz w:val="24"/>
                <w:szCs w:val="24"/>
              </w:rPr>
              <w:t>Odbiorcy szkolenia</w:t>
            </w: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06B0B">
              <w:rPr>
                <w:rFonts w:ascii="Calibri" w:eastAsia="Times New Roman" w:hAnsi="Calibri" w:cs="Calibri"/>
                <w:sz w:val="24"/>
                <w:szCs w:val="24"/>
              </w:rPr>
              <w:t>Szkolenie przeznaczone jest dla 10 uczestników - pracowników Wydziału Łączności i Informatyki KWP zs. w Radomiu.</w:t>
            </w:r>
          </w:p>
        </w:tc>
      </w:tr>
      <w:tr w:rsidR="00906B0B" w:rsidRPr="00906B0B" w:rsidTr="00906B0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6B0B">
              <w:rPr>
                <w:rFonts w:ascii="Calibri" w:eastAsia="Times New Roman" w:hAnsi="Calibri" w:cs="Calibri"/>
                <w:b/>
                <w:sz w:val="24"/>
                <w:szCs w:val="24"/>
              </w:rPr>
              <w:t>Wymagania ogólne dotyczące realizacji szkolenia</w:t>
            </w: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>Szkolenie odbędzie się w formie stacjonarnej w wybranym przez Wykonawcę miejscu na terenie Polski.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>Transport do i z miejsca szkolenia dla uczestników szkolenia zapewni Zamawiający.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>Szkolenie musi być akredytowane przez organizację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>, poprowadzone przez certyfikowanego trenera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 z użyciem materiałów i środowiska szkoleniowego dostarczonego przez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Szkolenie musi być przeprowadzone w najnowszej wersji szkolenia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Certified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Ethical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 Hacker.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>Wykonawca szkolenia zapewni odpowiednie zaplecze techniczne (urządzenia sieciowe) do celów szkolenia i indywidualne stanowiska robocze (komputery kursantów) dla każdego z uczestników szkolenia.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przeprowadzi szkolenie w języku polskim.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Szkolenie odbędzie się w ramach jednej zamkniętej grupy szkoleniowej. Termin szkolenia zostanie ustalony z Wykonawcą w ramach kontaktów roboczych.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zrealizuje szkolenie w terminie 2 miesięcy od daty podpisania umowy.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Szkolenie musi obejmować 5 kolejnych dni roboczych, łącznie min. 35 godzin zegarowych. Każdy dzień szkoleniowy to min. 7 godzin zegarowych.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Dokładny zakres podziału godzin zostanie zrealizowany na zasadach określonych przez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uzgodniony z Wykonawcą w ramach kontaktów roboczych i przedstawiony w harmonogramie szkolenia.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Dokładne terminy i harmonogram szkolenia zostaną uzgodnione z Wykonawcą w ramach kontaktów roboczych i muszą być przedstawione Zamawiającemu w przeciągu maksymalnie 3 dni od podpisania umowy.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zapewni materiały szkoleniowe akredytowane przez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dla każdego z uczestników szkolenia.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Materiały szkoleniowe muszą być przygotowane w języku polskim lub angielskim. Materiały szkoleniowe mogą być w formie papierowej lub elektronicznej w wersji obejmującej szkolenie.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ponosi koszty opracowania, powielania i transportu materiałów szkoleniowych.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zapewni konsultacje on-line w zakresie tematyki określonej w szkoleniu do 14 dni kalendarzowych po zakończeniu szkolenia dla każdego z uczestników szkolenia.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Uczestnicy szkolenia otrzymają imienne certyfikaty ukończenia akredytowanego szkolenia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sygnowane przez firmę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oraz podpisane przez trenera. I</w:t>
            </w:r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mienne certyfikaty poświadczające uczestnictwo w szkoleniu w wersji papierowej, rozdane zostaną uczestnikom najpóźniej ostatniego dnia świadczenia usługi. </w:t>
            </w:r>
            <w:r w:rsidRPr="00906B0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Certyfikaty, o których mowa powyżej, muszą zawierać oznaczenia wskazujące na finansowanie ze środków FBW w ramach Projektu (Zamawiający przekaże Wykonawcy niezbędne pliki graficzne).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</w:rPr>
              <w:t>Po zakończeniu szkolenia Wykonawca, na zasadach określonych przez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>, umożliwi każdemu uczestnikowi udział w egzaminie certyfikacyjnym. Wykonawca zapewni egzamin w formie stacjonarnej, w akredytowanym przez EC-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</w:rPr>
              <w:t>Council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</w:rPr>
              <w:t xml:space="preserve"> centrum egzaminacyjnym, w terminie indywidualnie określonym dla każdego uczestnika szkolenia.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przeprowadzi ankietę ewaluacyjną po szkoleniu, której wzór stanowi załącznik do umowy. Na podstawie przeprowadzonych ankiet sporządzi analizę ankiet ewaluacyjnych.</w:t>
            </w:r>
          </w:p>
          <w:p w:rsidR="00906B0B" w:rsidRPr="00906B0B" w:rsidRDefault="00906B0B" w:rsidP="00906B0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Wymaga się, aby prowadzący szkolenie/trener przeprowadził minimum 3 szkolenia z zakresu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Certified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Ethical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Hacker w okresie ostatniego roku poprzedzającego złożenie oferty.</w:t>
            </w:r>
          </w:p>
        </w:tc>
      </w:tr>
      <w:tr w:rsidR="00906B0B" w:rsidRPr="00906B0B" w:rsidTr="00906B0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6B0B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Zakres merytoryczny szkolenia</w:t>
            </w:r>
          </w:p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Information security controls, laws, and standards.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Various types of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footprinting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footprinting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tools,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Network scanning techniques and scanning countermeasures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Enumeration techniques and enumeration countermeasures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Vulnerability analysis to identify security loopholes in the target organization’s network, communication infrastructure, and end systems.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 xml:space="preserve">System hacking methodology, steganography, </w:t>
            </w:r>
            <w:proofErr w:type="spellStart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steganalysis</w:t>
            </w:r>
            <w:proofErr w:type="spellEnd"/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attacks, and covering tracks to discover system and network vulnerabilities.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Different types of malware (Trojan, Virus, worms, etc.), system auditing for malware attacks, malware analysis,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Packet sniffing techniques to discover network vulnerabilities and countermeasures to defend against sniffing.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Social engineering techniques and how to identify theft attacks to audit human-level vulnerabilities and social engineering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DoS/DDoS attack techniques and tools to audit a target and DoS/DDoS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Session hijacking techniques to discover network-level session management, authentication/authorization, and cryptographic weaknesses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Webserver attacks and a comprehensive attack methodology to audit vulnerabilities in webserver infrastructure,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Web application attacks, comprehensive web application hacking methodology to audit vulnerabilities in web applications,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SQL injection attack techniques, injection detection tools to detect SQL injection attempts,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Wireless encryption, wireless hacking methodology, wireless hacking tools, and Wi-Fi security tools.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Mobile platform attack vector, android vulnerability exploitations, and mobile security guidelines and tools.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Firewall, IDS and honeypot evasion techniques, evasion tools and techniques to audit a network perimeter for weaknesses, and countermeasures.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Cloud computing concepts (Container technology, serverless computing), the working of various threats and attacks, and security techniques and tools.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Penetration testing, security audit, vulnerability assessment, and penetration testing roadmap.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Threats to IoT and OT platforms and defending IoT and OT devices.</w:t>
            </w:r>
          </w:p>
          <w:p w:rsidR="00906B0B" w:rsidRPr="00906B0B" w:rsidRDefault="00906B0B" w:rsidP="00906B0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Cryptography ciphers, Public Key Infrastructure (PKI), cryptography attacks, and cryptanalysis tools.</w:t>
            </w:r>
          </w:p>
        </w:tc>
      </w:tr>
      <w:tr w:rsidR="00906B0B" w:rsidRPr="00906B0B" w:rsidTr="00906B0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B" w:rsidRPr="00906B0B" w:rsidRDefault="00906B0B" w:rsidP="00906B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06B0B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Zakwaterowanie i wyżywienie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B" w:rsidRPr="00906B0B" w:rsidRDefault="00906B0B" w:rsidP="00906B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szkolenia zapewni uczestnikom nocleg (5 dób hotelowych) w standardzie minimum 3-gwiazdkowym, znajdującym się w obrębie miasta w którym będzie realizowane szkolenie</w:t>
            </w:r>
          </w:p>
          <w:p w:rsidR="00906B0B" w:rsidRPr="00906B0B" w:rsidRDefault="00906B0B" w:rsidP="00906B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Wykonawca zobowiązany jest do udostępnienia pokoi dla uczestników szkolenia w dzień poprzedzający szkolenie do godziny </w:t>
            </w: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18.00, zaś wykwaterowanie umożliwi w ostatnim dniu szkolenia do standardowej godziny wymeldowania oferowanej przez obiekt noclegowy z zastrzeżeniem możliwości pozostawienia na parkingu pojazdów przeznaczonych do transportu uczestników szkolenia.</w:t>
            </w:r>
          </w:p>
          <w:p w:rsidR="00906B0B" w:rsidRPr="00906B0B" w:rsidRDefault="00906B0B" w:rsidP="00906B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Wymogi dotyczące zakwaterowania uczestników:</w:t>
            </w:r>
          </w:p>
          <w:p w:rsidR="00906B0B" w:rsidRPr="00906B0B" w:rsidRDefault="00906B0B" w:rsidP="00906B0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Wszyscy uczestnicy jednej grupy szkoleniowej muszą być zakwaterowani w jednym obiekcie;</w:t>
            </w:r>
          </w:p>
          <w:p w:rsidR="00906B0B" w:rsidRPr="00906B0B" w:rsidRDefault="00906B0B" w:rsidP="00906B0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Zakwaterowanie w pokojach 1- lub 2-osobowych (pokoje dwuosobowe muszą być wyposażone w oddzielne łóżka);</w:t>
            </w:r>
          </w:p>
          <w:p w:rsidR="00906B0B" w:rsidRPr="00906B0B" w:rsidRDefault="00906B0B" w:rsidP="00906B0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 każdym pokoju musi znajdować się węzeł sanitarny (umywalka i prysznic/wanna z ciepłą i zimną wodą, toaleta), ręcznik oraz ręcznik kąpielowy, mydło, papier toaletowy;</w:t>
            </w:r>
          </w:p>
          <w:p w:rsidR="00906B0B" w:rsidRPr="00906B0B" w:rsidRDefault="00906B0B" w:rsidP="00906B0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zapewni bezpłatny dostęp do sieci Wi-Fi na terenie obiektu;</w:t>
            </w:r>
          </w:p>
          <w:p w:rsidR="00906B0B" w:rsidRPr="00906B0B" w:rsidRDefault="00906B0B" w:rsidP="00906B0B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Na terenie obiektu zostaną bezpłatnie udostępnione miejsca parkingowe w ilości równej ilości uczestników szkolenia;</w:t>
            </w:r>
          </w:p>
          <w:p w:rsidR="00906B0B" w:rsidRPr="00906B0B" w:rsidRDefault="00906B0B" w:rsidP="00906B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Wykonawca szkolenia zapewni uczestnikom wyżywienie. Wyżywienie musi obejmować w dniu zakwaterowania kolację. W pierwszym, drugim, trzecim, czwartym dniu szkoleniowym śniadanie, obiad dwudaniowy i kolację. W ostatnim dniu szkolenia śniadanie i obiad dwudaniowy.</w:t>
            </w:r>
          </w:p>
          <w:p w:rsidR="00906B0B" w:rsidRPr="00906B0B" w:rsidRDefault="00906B0B" w:rsidP="00906B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06B0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 każdym dniu szkolenia (podczas przerw) zostanie zorganizowany serwis kawowy, w trakcie których zostanie podana: kawa, herbata, woda mineralna (gazowana i niegazowana), soki, cukier, mleczko do kawy, ciasta kruche lub ciasta. Serwis kawowy musi być zorganizowany w tym samym budynku co szkolenie (najlepiej w tej samej Sali lub jej bezpośrednim sąsiedztwie).</w:t>
            </w:r>
          </w:p>
        </w:tc>
      </w:tr>
    </w:tbl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53" w:rsidRDefault="00B51953">
      <w:pPr>
        <w:spacing w:after="0" w:line="240" w:lineRule="auto"/>
      </w:pPr>
      <w:r>
        <w:separator/>
      </w:r>
    </w:p>
  </w:endnote>
  <w:endnote w:type="continuationSeparator" w:id="0">
    <w:p w:rsidR="00B51953" w:rsidRDefault="00B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53" w:rsidRDefault="00B51953">
      <w:pPr>
        <w:spacing w:after="0" w:line="240" w:lineRule="auto"/>
      </w:pPr>
      <w:r>
        <w:separator/>
      </w:r>
    </w:p>
  </w:footnote>
  <w:footnote w:type="continuationSeparator" w:id="0">
    <w:p w:rsidR="00B51953" w:rsidRDefault="00B5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1F1D40"/>
    <w:rsid w:val="00354014"/>
    <w:rsid w:val="006778C7"/>
    <w:rsid w:val="00906B0B"/>
    <w:rsid w:val="00B51953"/>
    <w:rsid w:val="00CF2AAD"/>
    <w:rsid w:val="00DB1B47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1A0A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BE46-34AC-4448-8FF8-C14B7A6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6863</Characters>
  <Application>Microsoft Office Word</Application>
  <DocSecurity>0</DocSecurity>
  <Lines>57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5</cp:revision>
  <cp:lastPrinted>2022-08-23T10:16:00Z</cp:lastPrinted>
  <dcterms:created xsi:type="dcterms:W3CDTF">2022-08-23T10:32:00Z</dcterms:created>
  <dcterms:modified xsi:type="dcterms:W3CDTF">2022-09-01T13:09:00Z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