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493994">
      <w:pPr>
        <w:ind w:left="5664" w:firstLine="708"/>
        <w:rPr>
          <w:sz w:val="22"/>
          <w:szCs w:val="22"/>
        </w:rPr>
      </w:pPr>
    </w:p>
    <w:p w14:paraId="1EBF2F1D" w14:textId="77F7931A" w:rsidR="00FF6EF5" w:rsidRPr="00B217B3" w:rsidRDefault="00FF6EF5" w:rsidP="00493994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493994">
        <w:rPr>
          <w:rFonts w:ascii="Fira Sans" w:hAnsi="Fira Sans"/>
          <w:noProof/>
          <w:sz w:val="22"/>
          <w:szCs w:val="22"/>
        </w:rPr>
        <w:t>29 sierpnia 2024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93994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7F4A20ED" w14:textId="77777777" w:rsidR="00EC2273" w:rsidRPr="00946A9E" w:rsidRDefault="00EC2273" w:rsidP="00493994">
      <w:pPr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Pr="00946A9E">
        <w:rPr>
          <w:rFonts w:ascii="Fira Sans" w:hAnsi="Fira Sans"/>
          <w:b/>
          <w:sz w:val="22"/>
          <w:szCs w:val="22"/>
        </w:rPr>
        <w:t xml:space="preserve">otyczy: postępowania o udzielenie zamówienia publicznego w trybie </w:t>
      </w:r>
      <w:r w:rsidRPr="002003E8">
        <w:rPr>
          <w:rFonts w:ascii="Fira Sans" w:hAnsi="Fira Sans"/>
          <w:b/>
          <w:sz w:val="22"/>
          <w:szCs w:val="22"/>
        </w:rPr>
        <w:t>przetargu nieograniczonego pn.: Dostawa środków spożywczych specjalnego przeznaczenia medycznego – postępowanie nr 75/PN/2024</w:t>
      </w:r>
    </w:p>
    <w:p w14:paraId="7498CF46" w14:textId="77777777" w:rsidR="00E70BBD" w:rsidRPr="00B217B3" w:rsidRDefault="00E70BBD" w:rsidP="008C1184">
      <w:pPr>
        <w:jc w:val="both"/>
        <w:rPr>
          <w:rFonts w:ascii="Fira Sans" w:hAnsi="Fira Sans"/>
          <w:sz w:val="22"/>
          <w:szCs w:val="22"/>
        </w:rPr>
      </w:pPr>
    </w:p>
    <w:p w14:paraId="25549729" w14:textId="1752045C" w:rsidR="00834415" w:rsidRPr="00B217B3" w:rsidRDefault="00C342C9" w:rsidP="00493994">
      <w:pPr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EC2273">
        <w:rPr>
          <w:rFonts w:ascii="Fira Sans" w:hAnsi="Fira Sans"/>
          <w:sz w:val="22"/>
          <w:szCs w:val="22"/>
        </w:rPr>
        <w:t xml:space="preserve">podstawie </w:t>
      </w:r>
      <w:r w:rsidR="00B256FA" w:rsidRPr="00EC2273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EC2273">
        <w:rPr>
          <w:rFonts w:ascii="Fira Sans" w:hAnsi="Fira Sans"/>
          <w:sz w:val="22"/>
          <w:szCs w:val="22"/>
        </w:rPr>
        <w:t xml:space="preserve"> </w:t>
      </w:r>
      <w:r w:rsidR="003A4787" w:rsidRPr="00EC2273">
        <w:rPr>
          <w:rFonts w:ascii="Fira Sans" w:hAnsi="Fira Sans"/>
          <w:sz w:val="22"/>
          <w:szCs w:val="22"/>
        </w:rPr>
        <w:t>–</w:t>
      </w:r>
      <w:r w:rsidR="001F56C8" w:rsidRPr="00EC2273">
        <w:rPr>
          <w:rFonts w:ascii="Fira Sans" w:hAnsi="Fira Sans"/>
          <w:sz w:val="22"/>
          <w:szCs w:val="22"/>
        </w:rPr>
        <w:t xml:space="preserve"> </w:t>
      </w:r>
      <w:r w:rsidR="003A4787" w:rsidRPr="00EC2273">
        <w:rPr>
          <w:rFonts w:ascii="Fira Sans" w:hAnsi="Fira Sans"/>
          <w:sz w:val="22"/>
          <w:szCs w:val="22"/>
        </w:rPr>
        <w:t xml:space="preserve">przetarg </w:t>
      </w:r>
      <w:r w:rsidR="001F56C8" w:rsidRPr="00EC2273">
        <w:rPr>
          <w:rFonts w:ascii="Fira Sans" w:hAnsi="Fira Sans"/>
          <w:sz w:val="22"/>
          <w:szCs w:val="22"/>
        </w:rPr>
        <w:t>nieograniczony</w:t>
      </w:r>
      <w:bookmarkStart w:id="0" w:name="_Hlk63335437"/>
      <w:r w:rsidR="00B256FA" w:rsidRPr="00EC2273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EC2273">
        <w:rPr>
          <w:rFonts w:ascii="Fira Sans" w:hAnsi="Fira Sans"/>
          <w:sz w:val="22"/>
          <w:szCs w:val="22"/>
        </w:rPr>
        <w:t>ustawy</w:t>
      </w:r>
      <w:r w:rsidR="00EE091B" w:rsidRPr="00EC2273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EC2273">
        <w:rPr>
          <w:rFonts w:ascii="Fira Sans" w:hAnsi="Fira Sans"/>
          <w:sz w:val="22"/>
          <w:szCs w:val="22"/>
        </w:rPr>
        <w:t>z dnia 11 września 2019 r. - Prawo zamówień publicznych (</w:t>
      </w:r>
      <w:r w:rsidR="00F858BE" w:rsidRPr="00EC2273">
        <w:rPr>
          <w:rFonts w:ascii="Fira Sans" w:hAnsi="Fira Sans"/>
          <w:sz w:val="22"/>
          <w:szCs w:val="22"/>
        </w:rPr>
        <w:t xml:space="preserve">t. j. </w:t>
      </w:r>
      <w:r w:rsidR="009D531A" w:rsidRPr="00EC2273">
        <w:rPr>
          <w:rFonts w:ascii="Fira Sans" w:hAnsi="Fira Sans"/>
          <w:sz w:val="22"/>
          <w:szCs w:val="22"/>
        </w:rPr>
        <w:t>Dz. U. z 202</w:t>
      </w:r>
      <w:r w:rsidR="00C36A02" w:rsidRPr="00EC2273">
        <w:rPr>
          <w:rFonts w:ascii="Fira Sans" w:hAnsi="Fira Sans"/>
          <w:sz w:val="22"/>
          <w:szCs w:val="22"/>
        </w:rPr>
        <w:t>3</w:t>
      </w:r>
      <w:r w:rsidR="009D531A" w:rsidRPr="00EC2273">
        <w:rPr>
          <w:rFonts w:ascii="Fira Sans" w:hAnsi="Fira Sans"/>
          <w:sz w:val="22"/>
          <w:szCs w:val="22"/>
        </w:rPr>
        <w:t xml:space="preserve"> r. poz. </w:t>
      </w:r>
      <w:r w:rsidR="00C36A02" w:rsidRPr="00EC2273">
        <w:rPr>
          <w:rFonts w:ascii="Fira Sans" w:hAnsi="Fira Sans"/>
          <w:sz w:val="22"/>
          <w:szCs w:val="22"/>
        </w:rPr>
        <w:t>1605</w:t>
      </w:r>
      <w:r w:rsidR="00F858BE" w:rsidRPr="00EC2273">
        <w:rPr>
          <w:rFonts w:ascii="Fira Sans" w:hAnsi="Fira Sans"/>
          <w:sz w:val="22"/>
          <w:szCs w:val="22"/>
        </w:rPr>
        <w:t xml:space="preserve"> ze zm.</w:t>
      </w:r>
      <w:r w:rsidR="00965A24" w:rsidRPr="00EC2273">
        <w:rPr>
          <w:rFonts w:ascii="Fira Sans" w:hAnsi="Fira Sans"/>
          <w:sz w:val="22"/>
          <w:szCs w:val="22"/>
        </w:rPr>
        <w:t>)</w:t>
      </w:r>
      <w:r w:rsidR="00C36A02" w:rsidRPr="00EC2273">
        <w:rPr>
          <w:rFonts w:ascii="Fira Sans" w:hAnsi="Fira Sans"/>
          <w:sz w:val="22"/>
          <w:szCs w:val="22"/>
        </w:rPr>
        <w:t>,</w:t>
      </w:r>
      <w:r w:rsidR="009D531A" w:rsidRPr="00EC2273">
        <w:rPr>
          <w:rFonts w:ascii="Fira Sans" w:hAnsi="Fira Sans"/>
          <w:sz w:val="22"/>
          <w:szCs w:val="22"/>
        </w:rPr>
        <w:t xml:space="preserve"> </w:t>
      </w:r>
      <w:r w:rsidR="00965A24" w:rsidRPr="00EC2273">
        <w:rPr>
          <w:rFonts w:ascii="Fira Sans" w:hAnsi="Fira Sans"/>
          <w:sz w:val="22"/>
          <w:szCs w:val="22"/>
        </w:rPr>
        <w:t xml:space="preserve">[zwanej dalej także „PZP”] </w:t>
      </w:r>
      <w:r w:rsidRPr="00EC2273">
        <w:rPr>
          <w:rFonts w:ascii="Fira Sans" w:hAnsi="Fira Sans"/>
          <w:sz w:val="22"/>
          <w:szCs w:val="22"/>
        </w:rPr>
        <w:t xml:space="preserve">Zamawiający </w:t>
      </w:r>
      <w:r w:rsidR="00F73439" w:rsidRPr="00EC2273">
        <w:rPr>
          <w:rFonts w:ascii="Fira Sans" w:hAnsi="Fira Sans"/>
          <w:sz w:val="22"/>
          <w:szCs w:val="22"/>
        </w:rPr>
        <w:t>udostępnia</w:t>
      </w:r>
      <w:r w:rsidRPr="00EC2273">
        <w:rPr>
          <w:rFonts w:ascii="Fira Sans" w:hAnsi="Fira Sans"/>
          <w:sz w:val="22"/>
          <w:szCs w:val="22"/>
        </w:rPr>
        <w:t xml:space="preserve"> treść zapytań dotyczących</w:t>
      </w:r>
      <w:r w:rsidRPr="00B217B3">
        <w:rPr>
          <w:rFonts w:ascii="Fira Sans" w:hAnsi="Fira Sans"/>
          <w:sz w:val="22"/>
          <w:szCs w:val="22"/>
        </w:rPr>
        <w:t xml:space="preserve">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493994">
      <w:pPr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754523B6" w14:textId="1B283841" w:rsidR="004C046B" w:rsidRPr="00E76D23" w:rsidRDefault="00E76D23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E76D23">
        <w:rPr>
          <w:rFonts w:ascii="Fira Sans" w:hAnsi="Fira Sans"/>
          <w:bCs/>
          <w:iCs/>
          <w:sz w:val="22"/>
          <w:szCs w:val="22"/>
        </w:rPr>
        <w:t xml:space="preserve">Zwracamy się z prośbą o określenie w jaki sposób postąpić w pakiecie 4 w pozycji 25 </w:t>
      </w:r>
      <w:r w:rsidR="00493994">
        <w:rPr>
          <w:rFonts w:ascii="Fira Sans" w:hAnsi="Fira Sans"/>
          <w:bCs/>
          <w:iCs/>
          <w:sz w:val="22"/>
          <w:szCs w:val="22"/>
        </w:rPr>
        <w:t> </w:t>
      </w:r>
      <w:r w:rsidRPr="00E76D23">
        <w:rPr>
          <w:rFonts w:ascii="Fira Sans" w:hAnsi="Fira Sans"/>
          <w:bCs/>
          <w:iCs/>
          <w:sz w:val="22"/>
          <w:szCs w:val="22"/>
        </w:rPr>
        <w:t>w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76D23">
        <w:rPr>
          <w:rFonts w:ascii="Fira Sans" w:hAnsi="Fira Sans"/>
          <w:bCs/>
          <w:iCs/>
          <w:sz w:val="22"/>
          <w:szCs w:val="22"/>
        </w:rPr>
        <w:t>przypadku zaprzestania lub braku produkcji danego preparatu. Czy Zamawiający wyrazi zgodę na podanie ostatniej ceny i informacji pod pakietem?</w:t>
      </w:r>
    </w:p>
    <w:p w14:paraId="7877F7B2" w14:textId="141FBB10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DD0698">
        <w:rPr>
          <w:rFonts w:ascii="Fira Sans" w:hAnsi="Fira Sans"/>
          <w:b/>
          <w:i/>
          <w:sz w:val="22"/>
          <w:szCs w:val="22"/>
        </w:rPr>
        <w:t>Odp. Zamawiającego:</w:t>
      </w:r>
      <w:r w:rsidR="00DD0698">
        <w:rPr>
          <w:rFonts w:ascii="Fira Sans" w:hAnsi="Fira Sans"/>
          <w:b/>
          <w:i/>
          <w:sz w:val="22"/>
          <w:szCs w:val="22"/>
        </w:rPr>
        <w:t xml:space="preserve"> Zamawiający wyraża zgodę na podanie ostatniej ceny wraz z</w:t>
      </w:r>
      <w:r w:rsidR="00493994">
        <w:rPr>
          <w:rFonts w:ascii="Fira Sans" w:hAnsi="Fira Sans"/>
          <w:b/>
          <w:i/>
          <w:sz w:val="22"/>
          <w:szCs w:val="22"/>
        </w:rPr>
        <w:t> </w:t>
      </w:r>
      <w:r w:rsidR="00DD0698">
        <w:rPr>
          <w:rFonts w:ascii="Fira Sans" w:hAnsi="Fira Sans"/>
          <w:b/>
          <w:i/>
          <w:sz w:val="22"/>
          <w:szCs w:val="22"/>
        </w:rPr>
        <w:t xml:space="preserve">informacją pod pakietem. </w:t>
      </w:r>
    </w:p>
    <w:p w14:paraId="2D666E29" w14:textId="77777777" w:rsidR="006F47E0" w:rsidRPr="00B217B3" w:rsidRDefault="006F47E0" w:rsidP="00493994">
      <w:pPr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19AA9EDE" w14:textId="371FD6DD" w:rsidR="004A5AA1" w:rsidRPr="00B217B3" w:rsidRDefault="00E76D23" w:rsidP="00493994">
      <w:pPr>
        <w:jc w:val="both"/>
        <w:rPr>
          <w:rFonts w:ascii="Fira Sans" w:hAnsi="Fira Sans"/>
          <w:sz w:val="22"/>
          <w:szCs w:val="22"/>
        </w:rPr>
      </w:pPr>
      <w:r w:rsidRPr="00E76D23">
        <w:rPr>
          <w:rFonts w:ascii="Fira Sans" w:hAnsi="Fira Sans"/>
          <w:sz w:val="22"/>
          <w:szCs w:val="22"/>
        </w:rPr>
        <w:t>Czy Zamawiający w pakiecie 4 w pozycji 22 B z powodu braku produkcji zestawów</w:t>
      </w:r>
      <w:r>
        <w:rPr>
          <w:rFonts w:ascii="Fira Sans" w:hAnsi="Fira Sans"/>
          <w:sz w:val="22"/>
          <w:szCs w:val="22"/>
        </w:rPr>
        <w:t xml:space="preserve"> </w:t>
      </w:r>
      <w:r w:rsidRPr="00E76D23">
        <w:rPr>
          <w:rFonts w:ascii="Fira Sans" w:hAnsi="Fira Sans"/>
          <w:sz w:val="22"/>
          <w:szCs w:val="22"/>
        </w:rPr>
        <w:t>mobilnych dopuści zestaw do żywienia dojelitowego służący do połączenia worka z dietą (opakowanie miękkie typu Pack) ze zgłębnikiem , umożliwiający żywienie pacjenta metodą</w:t>
      </w:r>
      <w:r>
        <w:rPr>
          <w:rFonts w:ascii="Fira Sans" w:hAnsi="Fira Sans"/>
          <w:sz w:val="22"/>
          <w:szCs w:val="22"/>
        </w:rPr>
        <w:t xml:space="preserve"> </w:t>
      </w:r>
      <w:r w:rsidRPr="00E76D23">
        <w:rPr>
          <w:rFonts w:ascii="Fira Sans" w:hAnsi="Fira Sans"/>
          <w:sz w:val="22"/>
          <w:szCs w:val="22"/>
        </w:rPr>
        <w:t xml:space="preserve">ciągłego wlewu za pomocą pompy </w:t>
      </w:r>
      <w:proofErr w:type="spellStart"/>
      <w:r w:rsidRPr="00E76D23">
        <w:rPr>
          <w:rFonts w:ascii="Fira Sans" w:hAnsi="Fira Sans"/>
          <w:sz w:val="22"/>
          <w:szCs w:val="22"/>
        </w:rPr>
        <w:t>Flocare</w:t>
      </w:r>
      <w:proofErr w:type="spellEnd"/>
      <w:r w:rsidRPr="00E76D23">
        <w:rPr>
          <w:rFonts w:ascii="Fira Sans" w:hAnsi="Fira Sans"/>
          <w:sz w:val="22"/>
          <w:szCs w:val="22"/>
        </w:rPr>
        <w:t xml:space="preserve"> </w:t>
      </w:r>
      <w:proofErr w:type="spellStart"/>
      <w:r w:rsidRPr="00E76D23">
        <w:rPr>
          <w:rFonts w:ascii="Fira Sans" w:hAnsi="Fira Sans"/>
          <w:sz w:val="22"/>
          <w:szCs w:val="22"/>
        </w:rPr>
        <w:t>Infinity</w:t>
      </w:r>
      <w:proofErr w:type="spellEnd"/>
      <w:r w:rsidRPr="00E76D23">
        <w:rPr>
          <w:rFonts w:ascii="Fira Sans" w:hAnsi="Fira Sans"/>
          <w:sz w:val="22"/>
          <w:szCs w:val="22"/>
        </w:rPr>
        <w:t>. Pozostałe parametry zgodnie z SWZ</w:t>
      </w:r>
    </w:p>
    <w:p w14:paraId="419D6DDC" w14:textId="43D5BCCC" w:rsidR="00A45294" w:rsidRPr="00DD0698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DD0698">
        <w:rPr>
          <w:rFonts w:ascii="Fira Sans" w:hAnsi="Fira Sans"/>
          <w:b/>
          <w:i/>
          <w:sz w:val="22"/>
          <w:szCs w:val="22"/>
        </w:rPr>
        <w:t>Odp. Zamawiającego:</w:t>
      </w:r>
      <w:r w:rsidR="00DD0698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4F8C6823" w14:textId="77777777" w:rsidR="006250EE" w:rsidRPr="00DD0698" w:rsidRDefault="006250EE" w:rsidP="00493994">
      <w:pPr>
        <w:jc w:val="both"/>
        <w:rPr>
          <w:rFonts w:ascii="Fira Sans" w:hAnsi="Fira Sans"/>
          <w:sz w:val="22"/>
          <w:szCs w:val="22"/>
        </w:rPr>
      </w:pPr>
    </w:p>
    <w:p w14:paraId="5883F109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8C2DCCE" w14:textId="1EFBDDAD" w:rsidR="004C046B" w:rsidRPr="00FE17BC" w:rsidRDefault="00FE17BC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E17BC">
        <w:rPr>
          <w:rFonts w:ascii="Fira Sans" w:hAnsi="Fira Sans"/>
          <w:bCs/>
          <w:iCs/>
          <w:sz w:val="22"/>
          <w:szCs w:val="22"/>
        </w:rPr>
        <w:t>Czy Zamawiający wyrazi zgodę na dodanie zapisu w § 3 Umowy: „Zamówienia będą składane do godziny 13:00. Zamówienia złożone po godzinie 13:00 należy traktować jako złożone w</w:t>
      </w:r>
      <w:r w:rsidR="00493994">
        <w:rPr>
          <w:rFonts w:ascii="Fira Sans" w:hAnsi="Fira Sans"/>
          <w:bCs/>
          <w:iCs/>
          <w:sz w:val="22"/>
          <w:szCs w:val="22"/>
        </w:rPr>
        <w:t> </w:t>
      </w:r>
      <w:r w:rsidRPr="00FE17BC">
        <w:rPr>
          <w:rFonts w:ascii="Fira Sans" w:hAnsi="Fira Sans"/>
          <w:bCs/>
          <w:iCs/>
          <w:sz w:val="22"/>
          <w:szCs w:val="22"/>
        </w:rPr>
        <w:t>kolejnym dniu roboczym. Jeżeli dostawa wypada w dniu wolnym od pracy, w sobotę, bądź poza godzinami pracy Apteki Szpitala dostawa nastąpi w kolejnym dniu roboczym po</w:t>
      </w:r>
      <w:r w:rsidR="00493994">
        <w:rPr>
          <w:rFonts w:ascii="Fira Sans" w:hAnsi="Fira Sans"/>
          <w:bCs/>
          <w:iCs/>
          <w:sz w:val="22"/>
          <w:szCs w:val="22"/>
        </w:rPr>
        <w:t> </w:t>
      </w:r>
      <w:r w:rsidRPr="00FE17BC">
        <w:rPr>
          <w:rFonts w:ascii="Fira Sans" w:hAnsi="Fira Sans"/>
          <w:bCs/>
          <w:iCs/>
          <w:sz w:val="22"/>
          <w:szCs w:val="22"/>
        </w:rPr>
        <w:t>wyznaczonym terminie.</w:t>
      </w:r>
    </w:p>
    <w:p w14:paraId="469DB250" w14:textId="13914E45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A71F15">
        <w:rPr>
          <w:rFonts w:ascii="Fira Sans" w:hAnsi="Fira Sans"/>
          <w:b/>
          <w:i/>
          <w:sz w:val="22"/>
          <w:szCs w:val="22"/>
        </w:rPr>
        <w:t>Odp. Zamawiającego:</w:t>
      </w:r>
      <w:r w:rsidR="00A71F15" w:rsidRPr="00A71F15">
        <w:rPr>
          <w:rFonts w:ascii="Fira Sans" w:hAnsi="Fira Sans"/>
          <w:b/>
          <w:i/>
          <w:sz w:val="22"/>
          <w:szCs w:val="22"/>
        </w:rPr>
        <w:t xml:space="preserve"> Zamawiający</w:t>
      </w:r>
      <w:r w:rsidR="00A71F15">
        <w:rPr>
          <w:rFonts w:ascii="Fira Sans" w:hAnsi="Fira Sans"/>
          <w:b/>
          <w:i/>
          <w:sz w:val="22"/>
          <w:szCs w:val="22"/>
        </w:rPr>
        <w:t xml:space="preserve"> wyraża zgodę. </w:t>
      </w:r>
      <w:r w:rsidR="00A71F15" w:rsidRPr="00A71F15">
        <w:rPr>
          <w:rFonts w:ascii="Fira Sans" w:hAnsi="Fira Sans"/>
          <w:b/>
          <w:i/>
          <w:sz w:val="22"/>
          <w:szCs w:val="22"/>
        </w:rPr>
        <w:t>Modyfikacja w w/w zakresie została wprowadzona do wzoru umowy.</w:t>
      </w:r>
    </w:p>
    <w:p w14:paraId="2ACE7AFC" w14:textId="77777777" w:rsidR="003B404E" w:rsidRPr="00B217B3" w:rsidRDefault="003B404E" w:rsidP="00493994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0EC09FE3" w14:textId="5F68B431" w:rsidR="004C046B" w:rsidRPr="00FE17BC" w:rsidRDefault="00FE17BC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E17BC">
        <w:rPr>
          <w:rFonts w:ascii="Fira Sans" w:hAnsi="Fira Sans"/>
          <w:bCs/>
          <w:iCs/>
          <w:sz w:val="22"/>
          <w:szCs w:val="22"/>
        </w:rPr>
        <w:t>W związku z tym, iż dostępne na rynku polskim produkty do żywienia dojelitowego mają średnio 12-miesięczny okres przydatności od momentu wyprodukowania w fabryce, prosimy Państwa o uwzględnienie specyfiki produktów dojelitowych pod kątem terminu ważności oraz modyfikację zapisu - akceptując dostawy produktów do żywienia dojelitowego z</w:t>
      </w:r>
      <w:r w:rsidR="00493994">
        <w:rPr>
          <w:rFonts w:ascii="Fira Sans" w:hAnsi="Fira Sans"/>
          <w:bCs/>
          <w:iCs/>
          <w:sz w:val="22"/>
          <w:szCs w:val="22"/>
        </w:rPr>
        <w:t> </w:t>
      </w:r>
      <w:r w:rsidRPr="00FE17BC">
        <w:rPr>
          <w:rFonts w:ascii="Fira Sans" w:hAnsi="Fira Sans"/>
          <w:bCs/>
          <w:iCs/>
          <w:sz w:val="22"/>
          <w:szCs w:val="22"/>
        </w:rPr>
        <w:t>terminem ważności nie krótszym niż połowa terminu ważności dla danego produktu?</w:t>
      </w:r>
    </w:p>
    <w:p w14:paraId="32F448BC" w14:textId="47FE5B7B" w:rsidR="00A71F15" w:rsidRPr="00B217B3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A71F15">
        <w:rPr>
          <w:rFonts w:ascii="Fira Sans" w:hAnsi="Fira Sans"/>
          <w:b/>
          <w:i/>
          <w:sz w:val="22"/>
          <w:szCs w:val="22"/>
        </w:rPr>
        <w:t>Odp. Zamawiającego:</w:t>
      </w:r>
      <w:r w:rsidR="00A71F15" w:rsidRPr="00A71F15">
        <w:rPr>
          <w:rFonts w:ascii="Fira Sans" w:hAnsi="Fira Sans"/>
          <w:b/>
          <w:i/>
          <w:sz w:val="22"/>
          <w:szCs w:val="22"/>
        </w:rPr>
        <w:t xml:space="preserve"> Zamawiający</w:t>
      </w:r>
      <w:r w:rsidR="00A71F15" w:rsidRPr="00B90CF8">
        <w:rPr>
          <w:rFonts w:ascii="Fira Sans" w:hAnsi="Fira Sans"/>
          <w:b/>
          <w:i/>
          <w:sz w:val="22"/>
          <w:szCs w:val="22"/>
        </w:rPr>
        <w:t xml:space="preserve"> zmienia zapis dotyczący  </w:t>
      </w:r>
      <w:r w:rsidR="00A71F15">
        <w:rPr>
          <w:rFonts w:ascii="Fira Sans" w:hAnsi="Fira Sans"/>
          <w:b/>
          <w:i/>
          <w:sz w:val="22"/>
          <w:szCs w:val="22"/>
        </w:rPr>
        <w:t xml:space="preserve">terminu przydatności. </w:t>
      </w:r>
      <w:bookmarkStart w:id="1" w:name="_Hlk168301022"/>
      <w:r w:rsidR="00A71F15">
        <w:rPr>
          <w:rFonts w:ascii="Fira Sans" w:hAnsi="Fira Sans"/>
          <w:b/>
          <w:i/>
          <w:sz w:val="22"/>
          <w:szCs w:val="22"/>
        </w:rPr>
        <w:t xml:space="preserve">Modyfikacja w w/w zakresie została wprowadzona do wzoru umowy oraz do formularza ofertowego. </w:t>
      </w:r>
    </w:p>
    <w:bookmarkEnd w:id="1"/>
    <w:p w14:paraId="7BEBFF07" w14:textId="77777777" w:rsidR="00493994" w:rsidRDefault="004939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1A64941" w14:textId="5949B685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3355029A" w14:textId="74D18F9D" w:rsidR="004C046B" w:rsidRPr="00FE17BC" w:rsidRDefault="00FE17BC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E17BC">
        <w:rPr>
          <w:rFonts w:ascii="Fira Sans" w:hAnsi="Fira Sans"/>
          <w:bCs/>
          <w:iCs/>
          <w:sz w:val="22"/>
          <w:szCs w:val="22"/>
        </w:rPr>
        <w:t>Czy Zamawiający w przypadku reklamacji jakościowej, która wymaga przeprowadzenia badań laboratoryjnych, wyrazi zgodę na wydłużenie terminu rozpatrzenia ww. reklamacji w</w:t>
      </w:r>
      <w:r w:rsidR="00493994">
        <w:rPr>
          <w:rFonts w:ascii="Fira Sans" w:hAnsi="Fira Sans"/>
          <w:bCs/>
          <w:iCs/>
          <w:sz w:val="22"/>
          <w:szCs w:val="22"/>
        </w:rPr>
        <w:t> </w:t>
      </w:r>
      <w:r w:rsidRPr="00FE17BC">
        <w:rPr>
          <w:rFonts w:ascii="Fira Sans" w:hAnsi="Fira Sans"/>
          <w:bCs/>
          <w:iCs/>
          <w:sz w:val="22"/>
          <w:szCs w:val="22"/>
        </w:rPr>
        <w:t>ciągu 14 dni?</w:t>
      </w:r>
    </w:p>
    <w:p w14:paraId="5B50D3AC" w14:textId="6B9F75EB" w:rsidR="00B32F5D" w:rsidRPr="00852516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A71F15">
        <w:rPr>
          <w:rFonts w:ascii="Fira Sans" w:hAnsi="Fira Sans"/>
          <w:b/>
          <w:i/>
          <w:sz w:val="22"/>
          <w:szCs w:val="22"/>
        </w:rPr>
        <w:t>Odp. Zamawiającego:</w:t>
      </w:r>
      <w:r w:rsidR="00A71F15" w:rsidRPr="00A71F15">
        <w:rPr>
          <w:rFonts w:ascii="Fira Sans" w:hAnsi="Fira Sans"/>
          <w:b/>
          <w:i/>
          <w:sz w:val="22"/>
          <w:szCs w:val="22"/>
        </w:rPr>
        <w:t xml:space="preserve"> Zamawiający</w:t>
      </w:r>
      <w:r w:rsidR="00A71F15">
        <w:rPr>
          <w:rFonts w:ascii="Fira Sans" w:hAnsi="Fira Sans"/>
          <w:b/>
          <w:i/>
          <w:sz w:val="22"/>
          <w:szCs w:val="22"/>
        </w:rPr>
        <w:t xml:space="preserve"> wyraża zgodę. </w:t>
      </w:r>
    </w:p>
    <w:p w14:paraId="46D553E9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6:</w:t>
      </w:r>
    </w:p>
    <w:p w14:paraId="0100F71A" w14:textId="0FE627C0" w:rsidR="004C046B" w:rsidRPr="00FE17BC" w:rsidRDefault="00FE17BC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E17BC">
        <w:rPr>
          <w:rFonts w:ascii="Fira Sans" w:hAnsi="Fira Sans"/>
          <w:bCs/>
          <w:iCs/>
          <w:sz w:val="22"/>
          <w:szCs w:val="22"/>
        </w:rPr>
        <w:t>Czy Zamawiający w zadaniu 2 pozycjach 1,3,4 dopuści produkty pakowane w ampułkach?</w:t>
      </w:r>
    </w:p>
    <w:p w14:paraId="1D1451AD" w14:textId="47FE875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A71F15">
        <w:rPr>
          <w:rFonts w:ascii="Fira Sans" w:hAnsi="Fira Sans"/>
          <w:b/>
          <w:i/>
          <w:sz w:val="22"/>
          <w:szCs w:val="22"/>
        </w:rPr>
        <w:t>Odp. Zamawiającego:</w:t>
      </w:r>
      <w:r w:rsidR="00A71F15" w:rsidRPr="00A71F15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F8E1A4A" w14:textId="77777777" w:rsidR="00D71DB3" w:rsidRPr="00B217B3" w:rsidRDefault="00D71DB3" w:rsidP="00493994">
      <w:pPr>
        <w:jc w:val="both"/>
        <w:rPr>
          <w:rFonts w:ascii="Fira Sans" w:hAnsi="Fira Sans"/>
          <w:sz w:val="22"/>
          <w:szCs w:val="22"/>
        </w:rPr>
      </w:pPr>
    </w:p>
    <w:p w14:paraId="79934FF3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236F1547" w14:textId="02B5D736" w:rsidR="004C046B" w:rsidRPr="00FE17BC" w:rsidRDefault="00FE17BC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E17BC">
        <w:rPr>
          <w:rFonts w:ascii="Fira Sans" w:hAnsi="Fira Sans"/>
          <w:bCs/>
          <w:iCs/>
          <w:sz w:val="22"/>
          <w:szCs w:val="22"/>
        </w:rPr>
        <w:t>Czy zamawiający w zadaniu 3 dopuści przeliczenie produktów w opakowaniach pakowanych po 4 szt. (poz. 1-3, 5-8, 10-16), po 5 szt. (poz. 9), po 6 szt. (poz. 4, 17)?</w:t>
      </w:r>
    </w:p>
    <w:p w14:paraId="7790078D" w14:textId="2EF4DB34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A71F15">
        <w:rPr>
          <w:rFonts w:ascii="Fira Sans" w:hAnsi="Fira Sans"/>
          <w:b/>
          <w:i/>
          <w:sz w:val="22"/>
          <w:szCs w:val="22"/>
        </w:rPr>
        <w:t>Odp. Zamawiającego:</w:t>
      </w:r>
      <w:r w:rsidR="00A71F15" w:rsidRPr="00A71F15">
        <w:rPr>
          <w:rFonts w:ascii="Fira Sans" w:hAnsi="Fira Sans"/>
          <w:b/>
          <w:i/>
          <w:sz w:val="22"/>
          <w:szCs w:val="22"/>
        </w:rPr>
        <w:t xml:space="preserve"> Zamawiający</w:t>
      </w:r>
      <w:r w:rsidR="00A71F15">
        <w:rPr>
          <w:rFonts w:ascii="Fira Sans" w:hAnsi="Fira Sans"/>
          <w:b/>
          <w:i/>
          <w:sz w:val="22"/>
          <w:szCs w:val="22"/>
        </w:rPr>
        <w:t xml:space="preserve"> dopuszcza. </w:t>
      </w:r>
    </w:p>
    <w:p w14:paraId="6B7EA65A" w14:textId="77777777" w:rsidR="004C046B" w:rsidRPr="00B217B3" w:rsidRDefault="004C046B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4C0CDE4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23A7A621" w14:textId="2F190E00" w:rsidR="004C046B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Czy Zamawiający wyrazi zgodę na zmianę sposobu obliczania kary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zastrzeżonej w §7 ust. 2, w taki sposób, aby wynosiła ona 0,2% wartości brutto NIEDOSTARCZONEGO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towaru, za każdy dzień zwłoki w realizacji dostawy zwykłej?</w:t>
      </w:r>
    </w:p>
    <w:p w14:paraId="719D1507" w14:textId="2CE46B8C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F0266">
        <w:rPr>
          <w:rFonts w:ascii="Fira Sans" w:hAnsi="Fira Sans"/>
          <w:b/>
          <w:i/>
          <w:sz w:val="22"/>
          <w:szCs w:val="22"/>
        </w:rPr>
        <w:t xml:space="preserve"> Zamawiający nie wyraża zgody. </w:t>
      </w:r>
    </w:p>
    <w:p w14:paraId="323CB3F7" w14:textId="77777777" w:rsidR="004C781B" w:rsidRPr="00B217B3" w:rsidRDefault="004C781B" w:rsidP="00493994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5DD0DF79" w14:textId="77777777" w:rsidR="00A45294" w:rsidRPr="00B217B3" w:rsidRDefault="00A45294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311A0F82" w14:textId="365F958E" w:rsidR="004C046B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Czy Zamawiający wyrazi zgodę na zmianę sposobu obliczania kar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zastrzeżonych §7 ust. 3 i 4, w taki sposób, aby wynosiły one 0,2% wartości brutto towaru, z którego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dostawą Wykonawca pozostaje w zwłoce, obliczaną za każdy dzień zwłoki?</w:t>
      </w:r>
    </w:p>
    <w:p w14:paraId="0E75F89E" w14:textId="77777777" w:rsidR="00FF0266" w:rsidRPr="00B217B3" w:rsidRDefault="00FF0266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>
        <w:rPr>
          <w:rFonts w:ascii="Fira Sans" w:hAnsi="Fira Sans"/>
          <w:b/>
          <w:i/>
          <w:sz w:val="22"/>
          <w:szCs w:val="22"/>
        </w:rPr>
        <w:t xml:space="preserve"> Zamawiający nie wyraża zgody. </w:t>
      </w:r>
    </w:p>
    <w:p w14:paraId="39E474AA" w14:textId="77777777" w:rsidR="00EB67CA" w:rsidRPr="00B217B3" w:rsidRDefault="00EB67CA" w:rsidP="00493994">
      <w:pPr>
        <w:jc w:val="both"/>
        <w:rPr>
          <w:rFonts w:ascii="Fira Sans" w:hAnsi="Fira Sans"/>
          <w:b/>
          <w:sz w:val="22"/>
          <w:szCs w:val="22"/>
        </w:rPr>
      </w:pPr>
    </w:p>
    <w:p w14:paraId="0C5C72CE" w14:textId="77777777" w:rsidR="00317850" w:rsidRPr="00B217B3" w:rsidRDefault="00317850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44C3ED2B" w14:textId="5F7BA11F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C</w:t>
      </w:r>
      <w:r w:rsidRPr="00FF0266">
        <w:rPr>
          <w:rFonts w:ascii="Fira Sans" w:hAnsi="Fira Sans"/>
          <w:bCs/>
          <w:iCs/>
          <w:sz w:val="22"/>
          <w:szCs w:val="22"/>
        </w:rPr>
        <w:t xml:space="preserve">zy Zamawiający wyrazi zgodę na usunięcie </w:t>
      </w:r>
      <w:proofErr w:type="spellStart"/>
      <w:r w:rsidRPr="00FF0266">
        <w:rPr>
          <w:rFonts w:ascii="Fira Sans" w:hAnsi="Fira Sans"/>
          <w:bCs/>
          <w:iCs/>
          <w:sz w:val="22"/>
          <w:szCs w:val="22"/>
        </w:rPr>
        <w:t>postanowieniaumownego</w:t>
      </w:r>
      <w:proofErr w:type="spellEnd"/>
      <w:r w:rsidRPr="00FF0266">
        <w:rPr>
          <w:rFonts w:ascii="Fira Sans" w:hAnsi="Fira Sans"/>
          <w:bCs/>
          <w:iCs/>
          <w:sz w:val="22"/>
          <w:szCs w:val="22"/>
        </w:rPr>
        <w:t xml:space="preserve"> wskazanego w §8 ust. 3 pkt 9 wzoru umowy zgodnie z którym Zamawiający przewiduje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zmianę umowy w stosunku do treści oferty, na podstawie której dokonano wyboru wykonawcy w zakresie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zmiany ceny jednostkowej brutto poszczególnego asortymentu wyszczególnionego w załączniku do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umowy w sytuacji obniżenia ceny leku do wysokości średniego kosztu rozliczenia wybranych substancji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czynnych stosowanych w</w:t>
      </w:r>
      <w:r w:rsidR="00493994">
        <w:rPr>
          <w:rFonts w:ascii="Fira Sans" w:hAnsi="Fira Sans"/>
          <w:bCs/>
          <w:iCs/>
          <w:sz w:val="22"/>
          <w:szCs w:val="22"/>
        </w:rPr>
        <w:t> </w:t>
      </w:r>
      <w:r w:rsidRPr="00FF0266">
        <w:rPr>
          <w:rFonts w:ascii="Fira Sans" w:hAnsi="Fira Sans"/>
          <w:bCs/>
          <w:iCs/>
          <w:sz w:val="22"/>
          <w:szCs w:val="22"/>
        </w:rPr>
        <w:t>programach lekowych i chemioterapii publikowanego przez NFZ?</w:t>
      </w:r>
    </w:p>
    <w:p w14:paraId="32656D31" w14:textId="68BFC000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Po pierwsze, wskazać należy, że postanowienie to dotyczy wewnętrznych zasad rozliczeń między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świadczeniodawcami a NFZ, w tym w szczególności zasad korygowania wartości produktu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rozliczeniowego lub świadczenia w weryfikację średniego kosztu rozliczenia wybranych substancji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czynnych, na które to zasady Wykonawca nie ma wpływu i nie jest ich stroną. Zgodnie z par. 31</w:t>
      </w:r>
      <w:r w:rsidR="00493994"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Zarządzenia nr 175/2023/DGL Prezesa NFZ z dnia 30 listopada 2023 r. w sprawie określenia warunków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zawierania i realizacji umów w rodzaju leczenie szpitalne w zakresie programy lekowe (i odpowiednio par.</w:t>
      </w:r>
      <w:r w:rsidR="00493994"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30 Zarządzenia nr 10/2024/DGL – to</w:t>
      </w:r>
      <w:r w:rsidR="00700015">
        <w:rPr>
          <w:rFonts w:ascii="Fira Sans" w:hAnsi="Fira Sans"/>
          <w:bCs/>
          <w:iCs/>
          <w:sz w:val="22"/>
          <w:szCs w:val="22"/>
        </w:rPr>
        <w:t> </w:t>
      </w:r>
      <w:r w:rsidRPr="00FF0266">
        <w:rPr>
          <w:rFonts w:ascii="Fira Sans" w:hAnsi="Fira Sans"/>
          <w:bCs/>
          <w:iCs/>
          <w:sz w:val="22"/>
          <w:szCs w:val="22"/>
        </w:rPr>
        <w:t>dyrektor oddziału NFZ monitoruje i weryfikuje średni koszt rozliczeń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wybranych substancji czynnych i uwzględnia ww. weryfikację w stosunku do danego świadczeniodawcy.</w:t>
      </w:r>
      <w:r w:rsidR="00493994"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Ustalenia te są zatem wewnętrznymi uzgodnieniami Zamawiającego z NFZ, a Wykonawca nie jest ich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adresatem i nie mogą one kształtować obowiązków wykonawców. W konsekwencji, nieuzasadnione jest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oczekiwanie od Wykonawcy, aby cena każdorazowo ulegała zmianie wskutek zmian ww. Zarządzeń, czyli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była warunkowana przepisami o charakterze wewnętrznym, których Wykonawca nie jest Stroną.</w:t>
      </w:r>
      <w:r w:rsidR="00493994"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Zasadniczym jest bowiem, iż zarządzenia te nie są źródłem prawa powszechnie obowiązującego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Rzeczypospolitej Polskiej i wprowadzanie takich postanowień w umowie przetargowej i czynienie z nich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zobowiązania Wykonawcy jest nieuprawnione i bezpodstawne. Zarządzenia Prezesa NFZ, które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wprowadzają nowe zasady rozliczeń Świadczeniodawców z NFZ są bowiem aktami prawa wewnętrznego,</w:t>
      </w:r>
      <w:r w:rsidR="00493994"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na co wprost wskazał Sąd Apelacyjny w Gliwicach w wyroku z dnia IV SA/</w:t>
      </w:r>
      <w:proofErr w:type="spellStart"/>
      <w:r w:rsidRPr="00FF0266">
        <w:rPr>
          <w:rFonts w:ascii="Fira Sans" w:hAnsi="Fira Sans"/>
          <w:bCs/>
          <w:iCs/>
          <w:sz w:val="22"/>
          <w:szCs w:val="22"/>
        </w:rPr>
        <w:t>Gl</w:t>
      </w:r>
      <w:proofErr w:type="spellEnd"/>
      <w:r w:rsidRPr="00FF0266">
        <w:rPr>
          <w:rFonts w:ascii="Fira Sans" w:hAnsi="Fira Sans"/>
          <w:bCs/>
          <w:iCs/>
          <w:sz w:val="22"/>
          <w:szCs w:val="22"/>
        </w:rPr>
        <w:t xml:space="preserve"> 1151/17. Bezpodstawnym jest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zatem wskazywanie jako wiążącego bezwzględnie wszystkich uczestników mechanizmu zmiany cen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oparciu o komunikaty NFZ ustalające lub zmieniające średnie koszty wybranych substancji czynnych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sytuacji, gdy brak jest podstawy prawnej uprawniającej do tego (Wykonawców nie wiążą bowiem ani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Rozporządzenie Ministra Zdrowia ani Zarządzenia Prezesa NFZ).</w:t>
      </w:r>
    </w:p>
    <w:p w14:paraId="570560C3" w14:textId="60CEE620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lastRenderedPageBreak/>
        <w:t>Po drugie, podkreślić należy, że tak określona klauzula jest także nadużyciem w rozumieniu art. 353(1)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KC. – zarówno, iż nie tylko nie ma przepisu uprawniającego do stosowania cen maksymalnych, w dodatku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o charakterze ruchomym, ale też narusza zasady współżycia społecznego. Niezgodnym bowiem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regułami uczciwości jest przerzucanie na Wykonawcę kosztów prowadzenia swojej własnej działalności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niezwiązanej bezpośrednio ze świadczeniem Wykonawcy.</w:t>
      </w:r>
    </w:p>
    <w:p w14:paraId="08ADF067" w14:textId="782D3BED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Po trzecie, nieuprawnione działania Zamawiającego wskazane powyżej wyczerpują także znamiona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niedozwolonej klauzuli, o której mowa w art. 6 ust. 1 pkt 6 i 7 ustawy o ochronie konkurencji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konsumentów. Zgodnie z wyżej wskazanym przepisem, zakazane są porozumienia, których celem lub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skutkiem jest wyeliminowanie, ograniczenie lub naruszenie w inny sposób konkurencji na rynku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właściwym, polegające w szczególności na” 6) ograniczaniu dostępu do rynku lub eliminowaniu z rynku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przedsiębiorców nieobjętych porozumieniem; 7) uzgadnianiu przez przedsiębiorców przystępujących do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przetargu lub przez tych przedsiębiorców i przedsiębiorcę będącego organizatorem przetargu warunków</w:t>
      </w:r>
    </w:p>
    <w:p w14:paraId="13EC5226" w14:textId="77777777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składanych ofert, w szczególności zakresu prac lub ceny” – mając zaś na uwadze działania</w:t>
      </w:r>
    </w:p>
    <w:p w14:paraId="24BDCB5A" w14:textId="462E34D6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Zamawiającego polegające na wymaganiu zmiany ceny w oparciu o czynniki niezależne od Wykonawcy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wskazując na mechanizm, który jest wewnętrzną regulacją między Zamawiającym a NFZ wskazać należy,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że zachodzi podstawa do uznania takich porozumień za nieważne, zgodnie z art. 6 ust. 2 ustawy 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ochrony konkurencji i konsumentów. Ponadto działania Zamawiającego „przerzucającego” na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Wykonawcę koszty prowadzenia swojej działalności można kwalifikować także jako nadużycie pozycji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dominującej na rynku właściwym, które, zgodnie z art. 9 ust. 1 pkt 1 ustawy o ochronie konkurencji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konsumentów polega w szczególności na „bezpośrednim lub pośrednim narzucaniu nieuczciwych cen, w</w:t>
      </w:r>
    </w:p>
    <w:p w14:paraId="4415D718" w14:textId="2AECB72D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tym cen nadmiernie wygórowanych albo rażąco niskich, odległych terminów płatności lub innych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warunków zakupu albo sprzedaży towarów”.</w:t>
      </w:r>
    </w:p>
    <w:p w14:paraId="57A7E331" w14:textId="4667EDE5" w:rsidR="00FF0266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Po czwarte, zmiana, o którą wnosi Wykonawca pozostaje zgodne z nową ustawą - Prawo Zamówień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Publicznych, której naczelną zasadą jest zrównoważenie pozycji stron w umowach w sprawie zamówienia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publicznego poprzez zakaz kształtowania praw i obowiązków Zamawiającego i Wykonawcy w sposób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rażąco nieproporcjonalny do rodzaju zamówienia oraz ryzyka związanego z jego realizacją.</w:t>
      </w:r>
      <w:r w:rsidR="00493994"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Podobnie, w orzeczeniu KIO z dnia 8 listopada 2021 r. (KIO 3107/21) Izba krytycznie odniosła się do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możliwości zastrzegania we wzorcu umowy zmian wynagrodzenia w oparciu o zmiany określanego przez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NFZ średniego kosztu rozliczenia substancji czynnej, wyrażając pogląd, że określenie ceny za realizację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zamówienia, w tym również cen jednostkowych, jest uprawnieniem Wykonawcy, a Zamawiający nie jest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uprawniony do wpływania na treść oświadczenia woli Wykonawcy poprzez narzucanie mu maksymalnej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ceny za realizację zamówienia, wobec czego treść tak zaprojektowanego postanowienia umownego jest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co najmniej abuzywna, godząca w zasady wynikające z art. 431 ustawy PZP i art. 354 §1 KC oraz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naruszająca interesy przedsiębiorcy w sposób rażąco nieproporcjonalny do rodzaju zamówienia i ryzyka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związanego z jego realizacją.</w:t>
      </w:r>
    </w:p>
    <w:p w14:paraId="0A2174A4" w14:textId="08754201" w:rsidR="00FF0266" w:rsidRPr="00B217B3" w:rsidRDefault="00317850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F0266" w:rsidRPr="00FF0266">
        <w:rPr>
          <w:rFonts w:ascii="Fira Sans" w:hAnsi="Fira Sans"/>
          <w:b/>
          <w:i/>
          <w:sz w:val="22"/>
          <w:szCs w:val="22"/>
        </w:rPr>
        <w:t xml:space="preserve"> </w:t>
      </w:r>
      <w:r w:rsidR="00FF0266" w:rsidRPr="00CA077C">
        <w:rPr>
          <w:rFonts w:ascii="Fira Sans" w:hAnsi="Fira Sans"/>
          <w:b/>
          <w:i/>
          <w:sz w:val="22"/>
          <w:szCs w:val="22"/>
        </w:rPr>
        <w:t>Zamawiający nie wyraża zgody na usunięcie z projektowanych postanowień umowy par 8 pkt. 3.9. Na gruncie projektu umowy Zamawiający jedynie przewiduje możliwość dokonania zmian postanowień umowy w stosunku do treści oferty. Zmiany te dotyczą m.in. obniżenia ceny leku do wysokości średniego kosztu rozliczenia wybranych substancji czynnych stosowanych w programach lekowych i chemioterapii publikowanego przez NFZ. Każdorazowa zmiana w tym zakresie będzie miała charakter porozumienia pomiędzy Zamawiającym a Wykonawcą, a nie jednostronnego oświadczenia woli Zamawiającego. Zamawiający przewiduje zatem na gruncie umowy, jedynie przyszłe okoliczności, które mogą wystąpić i skutkować ewentualną zmianą umowy na mocy porozumienia stron (aneksu).</w:t>
      </w:r>
    </w:p>
    <w:p w14:paraId="7546EFFF" w14:textId="77777777" w:rsidR="00992F47" w:rsidRPr="00B217B3" w:rsidRDefault="00992F47" w:rsidP="00493994">
      <w:pPr>
        <w:jc w:val="both"/>
        <w:rPr>
          <w:rFonts w:ascii="Fira Sans" w:hAnsi="Fira Sans"/>
          <w:b/>
          <w:sz w:val="22"/>
          <w:szCs w:val="22"/>
        </w:rPr>
      </w:pPr>
    </w:p>
    <w:p w14:paraId="65D84741" w14:textId="77777777" w:rsidR="00852516" w:rsidRDefault="00852516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6B6A719E" w14:textId="77777777" w:rsidR="00852516" w:rsidRDefault="00852516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3D720C9D" w14:textId="353272CA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11:</w:t>
      </w:r>
      <w:r w:rsidR="00FF0266" w:rsidRPr="00FF0266">
        <w:t xml:space="preserve"> </w:t>
      </w:r>
      <w:r w:rsidR="00FF0266" w:rsidRPr="00FF0266">
        <w:rPr>
          <w:rFonts w:ascii="Fira Sans" w:hAnsi="Fira Sans"/>
          <w:b/>
          <w:sz w:val="22"/>
          <w:szCs w:val="22"/>
          <w:u w:val="single"/>
        </w:rPr>
        <w:t>Do §8 ust. 3 pkt 14 wzoru umowy</w:t>
      </w:r>
      <w:r w:rsidR="00FF0266">
        <w:rPr>
          <w:rFonts w:ascii="Fira Sans" w:hAnsi="Fira Sans"/>
          <w:b/>
          <w:sz w:val="22"/>
          <w:szCs w:val="22"/>
          <w:u w:val="single"/>
        </w:rPr>
        <w:t xml:space="preserve"> </w:t>
      </w:r>
    </w:p>
    <w:p w14:paraId="5B5AA9FE" w14:textId="5E5D6FD4" w:rsidR="002C5C1D" w:rsidRPr="00FF0266" w:rsidRDefault="00FF0266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FF0266">
        <w:rPr>
          <w:rFonts w:ascii="Fira Sans" w:hAnsi="Fira Sans"/>
          <w:bCs/>
          <w:iCs/>
          <w:sz w:val="22"/>
          <w:szCs w:val="22"/>
        </w:rPr>
        <w:t>Wnosimy o obniżenie do 3% minimalnego progu uprawniającego do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ubiegania się o zmianę wynagrodzenia. Wskazujemy przy tym, że proponowany przez Zamawiającego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próg 5% spowodować może konieczność ponoszenia rażących strat po stronie wykonawcy zamówienia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sprzedaż poniżej kosztów zakupu (maksymalne marże, w których zawierają się koszty i zysk wykonawcy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FF0266">
        <w:rPr>
          <w:rFonts w:ascii="Fira Sans" w:hAnsi="Fira Sans"/>
          <w:bCs/>
          <w:iCs/>
          <w:sz w:val="22"/>
          <w:szCs w:val="22"/>
        </w:rPr>
        <w:t>najczęściej nie przekraczają 3%), a co za tym idzie konieczność odstąpienia od umowy.</w:t>
      </w:r>
    </w:p>
    <w:p w14:paraId="40384FA3" w14:textId="6D7AFE21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F0266">
        <w:rPr>
          <w:rFonts w:ascii="Fira Sans" w:hAnsi="Fira Sans"/>
          <w:b/>
          <w:i/>
          <w:sz w:val="22"/>
          <w:szCs w:val="22"/>
        </w:rPr>
        <w:t xml:space="preserve"> Zamawiający podtrzymuje zapisy SWZ. </w:t>
      </w:r>
    </w:p>
    <w:p w14:paraId="4B53FC4D" w14:textId="77777777" w:rsidR="002C5C1D" w:rsidRPr="00B217B3" w:rsidRDefault="002C5C1D" w:rsidP="00493994">
      <w:pPr>
        <w:jc w:val="both"/>
        <w:rPr>
          <w:rFonts w:ascii="Fira Sans" w:hAnsi="Fira Sans"/>
          <w:sz w:val="22"/>
          <w:szCs w:val="22"/>
        </w:rPr>
      </w:pPr>
    </w:p>
    <w:p w14:paraId="7002F8E0" w14:textId="2717302B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12:</w:t>
      </w:r>
      <w:r w:rsidR="00FF0266" w:rsidRPr="00FF0266">
        <w:t xml:space="preserve"> </w:t>
      </w:r>
      <w:r w:rsidR="00FF0266" w:rsidRPr="00FF0266">
        <w:rPr>
          <w:rFonts w:ascii="Fira Sans" w:hAnsi="Fira Sans"/>
          <w:b/>
          <w:sz w:val="22"/>
          <w:szCs w:val="22"/>
          <w:u w:val="single"/>
        </w:rPr>
        <w:t>Do §8 ust. 3 pkt 14 wzoru umowy</w:t>
      </w:r>
    </w:p>
    <w:p w14:paraId="3D12A096" w14:textId="6C71825A" w:rsidR="002C5C1D" w:rsidRPr="00B217B3" w:rsidRDefault="00FF0266" w:rsidP="00493994">
      <w:pPr>
        <w:rPr>
          <w:rFonts w:ascii="Fira Sans" w:hAnsi="Fira Sans"/>
          <w:sz w:val="22"/>
          <w:szCs w:val="22"/>
        </w:rPr>
      </w:pPr>
      <w:r w:rsidRPr="00FF0266">
        <w:rPr>
          <w:rFonts w:ascii="Fira Sans" w:hAnsi="Fira Sans"/>
          <w:sz w:val="22"/>
          <w:szCs w:val="22"/>
        </w:rPr>
        <w:t>Czy Zamawiający wyrazi zgodę na podniesienie maksymalnego</w:t>
      </w:r>
      <w:r>
        <w:rPr>
          <w:rFonts w:ascii="Fira Sans" w:hAnsi="Fira Sans"/>
          <w:sz w:val="22"/>
          <w:szCs w:val="22"/>
        </w:rPr>
        <w:t xml:space="preserve"> </w:t>
      </w:r>
      <w:r w:rsidRPr="00FF0266">
        <w:rPr>
          <w:rFonts w:ascii="Fira Sans" w:hAnsi="Fira Sans"/>
          <w:sz w:val="22"/>
          <w:szCs w:val="22"/>
        </w:rPr>
        <w:t>poziomu wartości zmiany wynagrodzenia, jaką dopuszcza do łącznie 15% w stosunku do wartości</w:t>
      </w:r>
      <w:r>
        <w:rPr>
          <w:rFonts w:ascii="Fira Sans" w:hAnsi="Fira Sans"/>
          <w:sz w:val="22"/>
          <w:szCs w:val="22"/>
        </w:rPr>
        <w:t xml:space="preserve"> </w:t>
      </w:r>
      <w:r w:rsidRPr="00FF0266">
        <w:rPr>
          <w:rFonts w:ascii="Fira Sans" w:hAnsi="Fira Sans"/>
          <w:sz w:val="22"/>
          <w:szCs w:val="22"/>
        </w:rPr>
        <w:t>całkowitego</w:t>
      </w:r>
      <w:r>
        <w:rPr>
          <w:rFonts w:ascii="Fira Sans" w:hAnsi="Fira Sans"/>
          <w:sz w:val="22"/>
          <w:szCs w:val="22"/>
        </w:rPr>
        <w:t xml:space="preserve"> </w:t>
      </w:r>
      <w:r w:rsidRPr="00FF0266">
        <w:rPr>
          <w:rFonts w:ascii="Fira Sans" w:hAnsi="Fira Sans"/>
          <w:sz w:val="22"/>
          <w:szCs w:val="22"/>
        </w:rPr>
        <w:t>wynagrodzenia wykonawcy?</w:t>
      </w:r>
    </w:p>
    <w:p w14:paraId="0EA77409" w14:textId="238BC60B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F0266">
        <w:rPr>
          <w:rFonts w:ascii="Fira Sans" w:hAnsi="Fira Sans"/>
          <w:b/>
          <w:i/>
          <w:sz w:val="22"/>
          <w:szCs w:val="22"/>
        </w:rPr>
        <w:t xml:space="preserve"> Zamawiający nie wyraża zgody. </w:t>
      </w:r>
    </w:p>
    <w:p w14:paraId="491B3311" w14:textId="77777777" w:rsidR="002C5C1D" w:rsidRPr="00B217B3" w:rsidRDefault="002C5C1D" w:rsidP="00493994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3382FD0D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4332A873" w14:textId="2669E090" w:rsidR="002C5C1D" w:rsidRPr="00325965" w:rsidRDefault="00325965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325965">
        <w:rPr>
          <w:rFonts w:ascii="Fira Sans" w:hAnsi="Fira Sans"/>
          <w:bCs/>
          <w:iCs/>
          <w:sz w:val="22"/>
          <w:szCs w:val="22"/>
        </w:rPr>
        <w:t>Czy w stosunku do Zamawiającego na chwilę obecną aktualizują się przesłanki „niewypłacalności” oraz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„zagrożenia niewypłacalnością” w rozumieniu art. 6 ustawy z dnia 15 maja 2015 r. – Prawo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restrukturyzacyjne (t. j. Dz. U. 2022 poz. 2309 ze zm.) oraz art. 10 ustawy z dnia 28 lutego 2003 r. –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Prawo upadłościowe (t. j. Dz. U. 2022 poz. 1520 ze zm.)? Czy według wiedzy Zamawiającego w/w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przesłanki staną się aktualne w okresie od chwili obecnej do zakończenia umowy zawartej na skutek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niniejszego postępowania?</w:t>
      </w:r>
    </w:p>
    <w:p w14:paraId="267F29DC" w14:textId="77777777" w:rsidR="00325965" w:rsidRPr="00B217B3" w:rsidRDefault="00325965" w:rsidP="00493994">
      <w:pPr>
        <w:jc w:val="both"/>
        <w:rPr>
          <w:rFonts w:ascii="Fira Sans" w:hAnsi="Fira Sans"/>
          <w:sz w:val="22"/>
          <w:szCs w:val="22"/>
          <w:highlight w:val="yellow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>
        <w:rPr>
          <w:rFonts w:ascii="Fira Sans" w:hAnsi="Fira Sans"/>
          <w:b/>
          <w:i/>
          <w:sz w:val="22"/>
          <w:szCs w:val="22"/>
        </w:rPr>
        <w:t xml:space="preserve"> </w:t>
      </w:r>
      <w:r w:rsidRPr="00B6373D">
        <w:rPr>
          <w:rFonts w:ascii="Fira Sans" w:hAnsi="Fira Sans"/>
          <w:b/>
          <w:i/>
          <w:sz w:val="22"/>
          <w:szCs w:val="22"/>
        </w:rPr>
        <w:t>Zamawiający informuje, że w/w przesłanki nie mają zastosowania</w:t>
      </w:r>
      <w:r>
        <w:rPr>
          <w:rFonts w:ascii="Fira Sans" w:hAnsi="Fira Sans"/>
          <w:b/>
          <w:i/>
          <w:sz w:val="22"/>
          <w:szCs w:val="22"/>
        </w:rPr>
        <w:t>.</w:t>
      </w:r>
    </w:p>
    <w:p w14:paraId="6CFE0811" w14:textId="77777777" w:rsidR="002C5C1D" w:rsidRPr="00B217B3" w:rsidRDefault="002C5C1D" w:rsidP="00493994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688873ED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72E2017F" w14:textId="67A58C38" w:rsidR="00325965" w:rsidRPr="00325965" w:rsidRDefault="00325965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325965">
        <w:rPr>
          <w:rFonts w:ascii="Fira Sans" w:hAnsi="Fira Sans"/>
          <w:bCs/>
          <w:iCs/>
          <w:sz w:val="22"/>
          <w:szCs w:val="22"/>
        </w:rPr>
        <w:t>Czy Zamawiający wyrazi zgodę na ustanowienie ze swojej strony zabezpieczeń cywilnoprawnych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prawidłowego wykonania umowy przetargowej, w jednej z postaci:</w:t>
      </w:r>
    </w:p>
    <w:p w14:paraId="00EF10E1" w14:textId="26A6CB20" w:rsidR="00325965" w:rsidRPr="00325965" w:rsidRDefault="00325965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325965">
        <w:rPr>
          <w:rFonts w:ascii="Fira Sans" w:hAnsi="Fira Sans"/>
          <w:bCs/>
          <w:iCs/>
          <w:sz w:val="22"/>
          <w:szCs w:val="22"/>
        </w:rPr>
        <w:t>- oświadczenia o poddaniu się egzekucji wprost w trybie art. 777 § 1 pkt 5 Kodeksu postępowania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cywilnego,</w:t>
      </w:r>
    </w:p>
    <w:p w14:paraId="6E674A1F" w14:textId="77777777" w:rsidR="00325965" w:rsidRPr="00325965" w:rsidRDefault="00325965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325965">
        <w:rPr>
          <w:rFonts w:ascii="Fira Sans" w:hAnsi="Fira Sans"/>
          <w:bCs/>
          <w:iCs/>
          <w:sz w:val="22"/>
          <w:szCs w:val="22"/>
        </w:rPr>
        <w:t>- cesji na zabezpieczenie w Narodowym Funduszu Zdrowia.</w:t>
      </w:r>
    </w:p>
    <w:p w14:paraId="55D43FC3" w14:textId="74198554" w:rsidR="002C5C1D" w:rsidRPr="00325965" w:rsidRDefault="00325965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325965">
        <w:rPr>
          <w:rFonts w:ascii="Fira Sans" w:hAnsi="Fira Sans"/>
          <w:bCs/>
          <w:iCs/>
          <w:sz w:val="22"/>
          <w:szCs w:val="22"/>
        </w:rPr>
        <w:t>Celem wyjaśnienia powyższego zapytania zwracamy uwagę na ogromne ryzyko Wykonawcy związane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potencjalnym ogłoszeniem postępowania restrukturyzacyjnego lub upadłościowego wobec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Zamawiającego, polegające m.in. na niemożliwości odzyskania (w całości lub w części) należności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objętych masą sanacyjną. W razie odmownej odpowiedzi, prosimy o jej uzasadnienie i wskazanie, czy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toku trwania umowy przetargowej Zamawiający zamierza korzystać z narzędzi przewidzianych w ustawie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z dnia 15 maja 2015 r. – Prawo restrukturyzacyjne (t. j. Dz. U. 2022 poz. 2309 ze zm.) oraz w ustawie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dnia 28 lutego 2003 r. – Prawo upadłościowe (t. j. Dz. U. 2022 poz. 1520 ze zm.).</w:t>
      </w:r>
    </w:p>
    <w:p w14:paraId="3173B23E" w14:textId="77777777" w:rsidR="00325965" w:rsidRPr="00B217B3" w:rsidRDefault="00325965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>
        <w:rPr>
          <w:rFonts w:ascii="Fira Sans" w:hAnsi="Fira Sans"/>
          <w:b/>
          <w:i/>
          <w:sz w:val="22"/>
          <w:szCs w:val="22"/>
        </w:rPr>
        <w:t xml:space="preserve"> Zamawiający nie wyraża zgody. </w:t>
      </w:r>
    </w:p>
    <w:p w14:paraId="4E32D22B" w14:textId="77777777" w:rsidR="002C5C1D" w:rsidRPr="00B217B3" w:rsidRDefault="002C5C1D" w:rsidP="00493994">
      <w:pPr>
        <w:jc w:val="both"/>
        <w:rPr>
          <w:rFonts w:ascii="Fira Sans" w:hAnsi="Fira Sans"/>
          <w:sz w:val="22"/>
          <w:szCs w:val="22"/>
        </w:rPr>
      </w:pPr>
    </w:p>
    <w:p w14:paraId="0EB59CE2" w14:textId="33A90CE0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15:</w:t>
      </w:r>
      <w:r w:rsidR="00325965" w:rsidRPr="00325965">
        <w:t xml:space="preserve"> </w:t>
      </w:r>
      <w:r w:rsidR="00325965" w:rsidRPr="00325965">
        <w:rPr>
          <w:rFonts w:ascii="Fira Sans" w:hAnsi="Fira Sans"/>
          <w:b/>
          <w:sz w:val="22"/>
          <w:szCs w:val="22"/>
          <w:u w:val="single"/>
        </w:rPr>
        <w:t>Do §3 ust. 15 wzoru umowy dzierżawy</w:t>
      </w:r>
      <w:r w:rsidR="00325965">
        <w:rPr>
          <w:rFonts w:ascii="Fira Sans" w:hAnsi="Fira Sans"/>
          <w:b/>
          <w:sz w:val="22"/>
          <w:szCs w:val="22"/>
          <w:u w:val="single"/>
        </w:rPr>
        <w:t xml:space="preserve"> </w:t>
      </w:r>
    </w:p>
    <w:p w14:paraId="685034BC" w14:textId="0ACFC008" w:rsidR="002C5C1D" w:rsidRPr="00325965" w:rsidRDefault="00325965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325965">
        <w:rPr>
          <w:rFonts w:ascii="Fira Sans" w:hAnsi="Fira Sans"/>
          <w:bCs/>
          <w:iCs/>
          <w:sz w:val="22"/>
          <w:szCs w:val="22"/>
        </w:rPr>
        <w:t>Z uwagi na zawarte w §2 oświadczenie Wydzierżawiającego, że</w:t>
      </w:r>
      <w:r w:rsidR="00A71F15"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przysługuje mu pełne prawo rozporządzania niżej wymienionymi urządzeniami, w tym prawo do zawarcia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niniejszej umowy, Dzierżawca odstąpi od wymogu posiadania do nich prawa własności? Wyjaśniamy, że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Wykonawca działający jako Hurtownia Farmaceutyczna, nie zawsze posiada na własność urządzenia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będące przedmiotem niniejszej umowy, choć spełnia warunek uprawniający go do dysponowania tym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25965">
        <w:rPr>
          <w:rFonts w:ascii="Fira Sans" w:hAnsi="Fira Sans"/>
          <w:bCs/>
          <w:iCs/>
          <w:sz w:val="22"/>
          <w:szCs w:val="22"/>
        </w:rPr>
        <w:t>sprzętem w pełnym zakresie.</w:t>
      </w:r>
    </w:p>
    <w:p w14:paraId="6803F7B2" w14:textId="4251AA7C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104A33">
        <w:rPr>
          <w:rFonts w:ascii="Fira Sans" w:hAnsi="Fira Sans"/>
          <w:b/>
          <w:i/>
          <w:sz w:val="22"/>
          <w:szCs w:val="22"/>
        </w:rPr>
        <w:t>Odp. Zamawiającego:</w:t>
      </w:r>
      <w:r w:rsidR="00104A33" w:rsidRPr="00104A33">
        <w:rPr>
          <w:rFonts w:ascii="Fira Sans" w:hAnsi="Fira Sans"/>
          <w:b/>
          <w:i/>
          <w:sz w:val="22"/>
          <w:szCs w:val="22"/>
        </w:rPr>
        <w:t xml:space="preserve"> Zamawiający wykreśla zapis o posiadaniu prawa własności Wydzierżawiającego. Modyfikacja w w/w zakresie została wprowadzona do wzoru umowy</w:t>
      </w:r>
      <w:r w:rsidR="00104A33">
        <w:rPr>
          <w:rFonts w:ascii="Fira Sans" w:hAnsi="Fira Sans"/>
          <w:b/>
          <w:i/>
          <w:sz w:val="22"/>
          <w:szCs w:val="22"/>
        </w:rPr>
        <w:t xml:space="preserve"> dzierżawy.</w:t>
      </w:r>
    </w:p>
    <w:p w14:paraId="7B425AFA" w14:textId="77777777" w:rsidR="002C5C1D" w:rsidRPr="00B217B3" w:rsidRDefault="002C5C1D" w:rsidP="00493994">
      <w:pPr>
        <w:jc w:val="both"/>
        <w:rPr>
          <w:rFonts w:ascii="Fira Sans" w:hAnsi="Fira Sans"/>
          <w:sz w:val="22"/>
          <w:szCs w:val="22"/>
        </w:rPr>
      </w:pPr>
    </w:p>
    <w:p w14:paraId="5F7D3C96" w14:textId="77777777" w:rsidR="00700015" w:rsidRDefault="00700015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6BE12231" w14:textId="77777777" w:rsidR="00700015" w:rsidRDefault="00700015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3BA91791" w14:textId="628A3A08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16:</w:t>
      </w:r>
    </w:p>
    <w:p w14:paraId="60F9DB22" w14:textId="16C3F49C" w:rsidR="002C5C1D" w:rsidRPr="004C42A0" w:rsidRDefault="004C42A0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4C42A0">
        <w:rPr>
          <w:rFonts w:ascii="Fira Sans" w:hAnsi="Fira Sans"/>
          <w:bCs/>
          <w:iCs/>
          <w:sz w:val="22"/>
          <w:szCs w:val="22"/>
        </w:rPr>
        <w:t>Czy można wycenić leki w opakowaniu innej wielkości niż żądana przez Zmawiającego, a</w:t>
      </w:r>
      <w:r w:rsidR="00700015">
        <w:rPr>
          <w:rFonts w:ascii="Fira Sans" w:hAnsi="Fira Sans"/>
          <w:bCs/>
          <w:iCs/>
          <w:sz w:val="22"/>
          <w:szCs w:val="22"/>
        </w:rPr>
        <w:t> </w:t>
      </w:r>
      <w:r w:rsidRPr="004C42A0">
        <w:rPr>
          <w:rFonts w:ascii="Fira Sans" w:hAnsi="Fira Sans"/>
          <w:bCs/>
          <w:iCs/>
          <w:sz w:val="22"/>
          <w:szCs w:val="22"/>
        </w:rPr>
        <w:t>ilość opakowań odpowiednio przeliczyć tak, aby liczba sztuk była zgodna z SIWZ?</w:t>
      </w:r>
    </w:p>
    <w:p w14:paraId="6C588FCD" w14:textId="43F9989D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C42A0">
        <w:rPr>
          <w:rFonts w:ascii="Fira Sans" w:hAnsi="Fira Sans"/>
          <w:b/>
          <w:i/>
          <w:sz w:val="22"/>
          <w:szCs w:val="22"/>
        </w:rPr>
        <w:t xml:space="preserve"> Zamawiający wyraża zgodę. </w:t>
      </w:r>
    </w:p>
    <w:p w14:paraId="1C918D42" w14:textId="77777777" w:rsidR="002C5C1D" w:rsidRPr="00B217B3" w:rsidRDefault="002C5C1D" w:rsidP="00493994">
      <w:pPr>
        <w:jc w:val="both"/>
        <w:rPr>
          <w:rFonts w:ascii="Fira Sans" w:hAnsi="Fira Sans"/>
          <w:sz w:val="22"/>
          <w:szCs w:val="22"/>
        </w:rPr>
      </w:pPr>
    </w:p>
    <w:p w14:paraId="16E4D21B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17:</w:t>
      </w:r>
    </w:p>
    <w:p w14:paraId="7FDAABE6" w14:textId="2BB3D9F0" w:rsidR="004C42A0" w:rsidRPr="004C42A0" w:rsidRDefault="004C42A0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4C42A0">
        <w:rPr>
          <w:rFonts w:ascii="Fira Sans" w:hAnsi="Fira Sans"/>
          <w:bCs/>
          <w:iCs/>
          <w:sz w:val="22"/>
          <w:szCs w:val="22"/>
        </w:rPr>
        <w:t xml:space="preserve">Prosimy o podanie, w jaki sposób prawidłowo przeliczyć ilość opakowań handlowych </w:t>
      </w:r>
    </w:p>
    <w:p w14:paraId="635D00F7" w14:textId="0301A0F4" w:rsidR="002C5C1D" w:rsidRPr="004C42A0" w:rsidRDefault="004C42A0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4C42A0">
        <w:rPr>
          <w:rFonts w:ascii="Fira Sans" w:hAnsi="Fira Sans"/>
          <w:bCs/>
          <w:iCs/>
          <w:sz w:val="22"/>
          <w:szCs w:val="22"/>
        </w:rPr>
        <w:t>w przypadku występowania na rynku opakowań posiadających inną ilość sztuk (tabletek, ampułek, kilogramów itp.), niż umieszczone w SIWZ (czy podawać pełne ilości opakowań zaokrąglone w górę, czy ilość opakowań przeliczyć do dwóch miejsc po przecinku)?</w:t>
      </w:r>
    </w:p>
    <w:p w14:paraId="01FAF58D" w14:textId="36E9911C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C42A0">
        <w:rPr>
          <w:rFonts w:ascii="Fira Sans" w:hAnsi="Fira Sans"/>
          <w:b/>
          <w:i/>
          <w:sz w:val="22"/>
          <w:szCs w:val="22"/>
        </w:rPr>
        <w:t xml:space="preserve"> Należy podawać pełne ilości opakowań zaokrąglone w górę. </w:t>
      </w:r>
    </w:p>
    <w:p w14:paraId="13AAD254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B53AB86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73E7F756" w14:textId="5EC1CA63" w:rsidR="002C5C1D" w:rsidRPr="004C42A0" w:rsidRDefault="004C42A0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4C42A0">
        <w:rPr>
          <w:rFonts w:ascii="Fira Sans" w:hAnsi="Fira Sans"/>
          <w:bCs/>
          <w:iCs/>
          <w:sz w:val="22"/>
          <w:szCs w:val="22"/>
        </w:rPr>
        <w:t>Czy Zamawiający dopuści wycenę leku podając ostatnią cenę sprzedaży oraz adekwatną uwagę pod pakietem w przypadku, jeżeli żądany przez Zamawiającego  produkt ma status: „tymczasowy brak dostępności na rynku farmaceutycznym”  a nie ma innego leku równoważnego, którym można byłoby go zastąpić ?</w:t>
      </w:r>
    </w:p>
    <w:p w14:paraId="25089F45" w14:textId="2622450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C42A0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56D2EBD0" w14:textId="77777777" w:rsidR="002C5C1D" w:rsidRPr="00B217B3" w:rsidRDefault="002C5C1D" w:rsidP="00493994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74AD6AEB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19:</w:t>
      </w:r>
    </w:p>
    <w:p w14:paraId="3BEBA9D7" w14:textId="6482D9A0" w:rsidR="002C5C1D" w:rsidRPr="004C42A0" w:rsidRDefault="004C42A0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4C42A0">
        <w:rPr>
          <w:rFonts w:ascii="Fira Sans" w:hAnsi="Fira Sans"/>
          <w:bCs/>
          <w:iCs/>
          <w:sz w:val="22"/>
          <w:szCs w:val="22"/>
        </w:rPr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4C42A0">
        <w:rPr>
          <w:rFonts w:ascii="Fira Sans" w:hAnsi="Fira Sans"/>
          <w:bCs/>
          <w:iCs/>
          <w:sz w:val="22"/>
          <w:szCs w:val="22"/>
        </w:rPr>
        <w:t>injekcyjnej</w:t>
      </w:r>
      <w:proofErr w:type="spellEnd"/>
      <w:r w:rsidRPr="004C42A0">
        <w:rPr>
          <w:rFonts w:ascii="Fira Sans" w:hAnsi="Fira Sans"/>
          <w:bCs/>
          <w:iCs/>
          <w:sz w:val="22"/>
          <w:szCs w:val="22"/>
        </w:rPr>
        <w:t xml:space="preserve"> leku w obrębie tej samej drogi podania np.: </w:t>
      </w:r>
      <w:proofErr w:type="spellStart"/>
      <w:r w:rsidRPr="004C42A0">
        <w:rPr>
          <w:rFonts w:ascii="Fira Sans" w:hAnsi="Fira Sans"/>
          <w:bCs/>
          <w:iCs/>
          <w:sz w:val="22"/>
          <w:szCs w:val="22"/>
        </w:rPr>
        <w:t>amp</w:t>
      </w:r>
      <w:proofErr w:type="spellEnd"/>
      <w:r w:rsidRPr="004C42A0">
        <w:rPr>
          <w:rFonts w:ascii="Fira Sans" w:hAnsi="Fira Sans"/>
          <w:bCs/>
          <w:iCs/>
          <w:sz w:val="22"/>
          <w:szCs w:val="22"/>
        </w:rPr>
        <w:t>.-fiol.; fiol.-</w:t>
      </w:r>
      <w:proofErr w:type="spellStart"/>
      <w:r w:rsidRPr="004C42A0">
        <w:rPr>
          <w:rFonts w:ascii="Fira Sans" w:hAnsi="Fira Sans"/>
          <w:bCs/>
          <w:iCs/>
          <w:sz w:val="22"/>
          <w:szCs w:val="22"/>
        </w:rPr>
        <w:t>amp</w:t>
      </w:r>
      <w:proofErr w:type="spellEnd"/>
      <w:r w:rsidRPr="004C42A0">
        <w:rPr>
          <w:rFonts w:ascii="Fira Sans" w:hAnsi="Fira Sans"/>
          <w:bCs/>
          <w:iCs/>
          <w:sz w:val="22"/>
          <w:szCs w:val="22"/>
        </w:rPr>
        <w:t>-</w:t>
      </w:r>
      <w:proofErr w:type="spellStart"/>
      <w:r w:rsidRPr="004C42A0">
        <w:rPr>
          <w:rFonts w:ascii="Fira Sans" w:hAnsi="Fira Sans"/>
          <w:bCs/>
          <w:iCs/>
          <w:sz w:val="22"/>
          <w:szCs w:val="22"/>
        </w:rPr>
        <w:t>strz</w:t>
      </w:r>
      <w:proofErr w:type="spellEnd"/>
      <w:r w:rsidRPr="004C42A0">
        <w:rPr>
          <w:rFonts w:ascii="Fira Sans" w:hAnsi="Fira Sans"/>
          <w:bCs/>
          <w:iCs/>
          <w:sz w:val="22"/>
          <w:szCs w:val="22"/>
        </w:rPr>
        <w:t xml:space="preserve"> ampułki-pojemniki, flakony-butelki, pojemniki-</w:t>
      </w:r>
      <w:proofErr w:type="spellStart"/>
      <w:r w:rsidRPr="004C42A0">
        <w:rPr>
          <w:rFonts w:ascii="Fira Sans" w:hAnsi="Fira Sans"/>
          <w:bCs/>
          <w:iCs/>
          <w:sz w:val="22"/>
          <w:szCs w:val="22"/>
        </w:rPr>
        <w:t>Kabipac</w:t>
      </w:r>
      <w:proofErr w:type="spellEnd"/>
      <w:r w:rsidRPr="004C42A0">
        <w:rPr>
          <w:rFonts w:ascii="Fira Sans" w:hAnsi="Fira Sans"/>
          <w:bCs/>
          <w:iCs/>
          <w:sz w:val="22"/>
          <w:szCs w:val="22"/>
        </w:rPr>
        <w:t>(</w:t>
      </w:r>
      <w:proofErr w:type="spellStart"/>
      <w:r w:rsidRPr="004C42A0">
        <w:rPr>
          <w:rFonts w:ascii="Fira Sans" w:hAnsi="Fira Sans"/>
          <w:bCs/>
          <w:iCs/>
          <w:sz w:val="22"/>
          <w:szCs w:val="22"/>
        </w:rPr>
        <w:t>Kabiclear</w:t>
      </w:r>
      <w:proofErr w:type="spellEnd"/>
      <w:r w:rsidRPr="004C42A0">
        <w:rPr>
          <w:rFonts w:ascii="Fira Sans" w:hAnsi="Fira Sans"/>
          <w:bCs/>
          <w:iCs/>
          <w:sz w:val="22"/>
          <w:szCs w:val="22"/>
        </w:rPr>
        <w:t>) i odwrotnie?</w:t>
      </w:r>
    </w:p>
    <w:p w14:paraId="5ADF694E" w14:textId="65D1C37D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C42A0">
        <w:rPr>
          <w:rFonts w:ascii="Fira Sans" w:hAnsi="Fira Sans"/>
          <w:b/>
          <w:i/>
          <w:sz w:val="22"/>
          <w:szCs w:val="22"/>
        </w:rPr>
        <w:t xml:space="preserve"> Zamawiający wyraża zgodę. </w:t>
      </w:r>
    </w:p>
    <w:p w14:paraId="47D7CB20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</w:p>
    <w:p w14:paraId="3C9852C8" w14:textId="77777777" w:rsidR="002C5C1D" w:rsidRPr="00B217B3" w:rsidRDefault="002C5C1D" w:rsidP="00493994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20:</w:t>
      </w:r>
    </w:p>
    <w:p w14:paraId="27C417ED" w14:textId="2647FE7F" w:rsidR="007565A2" w:rsidRPr="007565A2" w:rsidRDefault="007565A2" w:rsidP="00493994">
      <w:pPr>
        <w:jc w:val="both"/>
        <w:rPr>
          <w:rFonts w:ascii="Fira Sans" w:hAnsi="Fira Sans"/>
          <w:bCs/>
          <w:iCs/>
          <w:sz w:val="22"/>
          <w:szCs w:val="22"/>
        </w:rPr>
      </w:pPr>
      <w:r w:rsidRPr="007565A2">
        <w:rPr>
          <w:rFonts w:ascii="Fira Sans" w:hAnsi="Fira Sans"/>
          <w:bCs/>
          <w:iCs/>
          <w:sz w:val="22"/>
          <w:szCs w:val="22"/>
        </w:rPr>
        <w:t>Czy zamawiający w pakiecie 4 pozycja 8 dopuści możliwość przeliczenia diety NUTRISON ADVANCED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7565A2">
        <w:rPr>
          <w:rFonts w:ascii="Fira Sans" w:hAnsi="Fira Sans"/>
          <w:bCs/>
          <w:iCs/>
          <w:sz w:val="22"/>
          <w:szCs w:val="22"/>
        </w:rPr>
        <w:t xml:space="preserve">PEPTISORB 1.0 </w:t>
      </w:r>
      <w:proofErr w:type="spellStart"/>
      <w:r w:rsidRPr="007565A2">
        <w:rPr>
          <w:rFonts w:ascii="Fira Sans" w:hAnsi="Fira Sans"/>
          <w:bCs/>
          <w:iCs/>
          <w:sz w:val="22"/>
          <w:szCs w:val="22"/>
        </w:rPr>
        <w:t>OpTri</w:t>
      </w:r>
      <w:proofErr w:type="spellEnd"/>
      <w:r w:rsidRPr="007565A2">
        <w:rPr>
          <w:rFonts w:ascii="Fira Sans" w:hAnsi="Fira Sans"/>
          <w:bCs/>
          <w:iCs/>
          <w:sz w:val="22"/>
          <w:szCs w:val="22"/>
        </w:rPr>
        <w:t xml:space="preserve"> na 500ml? Obie pojemności będą dostarczone według zapotrzebowania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7565A2">
        <w:rPr>
          <w:rFonts w:ascii="Fira Sans" w:hAnsi="Fira Sans"/>
          <w:bCs/>
          <w:iCs/>
          <w:sz w:val="22"/>
          <w:szCs w:val="22"/>
        </w:rPr>
        <w:t>zamawiającego. Powodem prośby jest przejściowy brak dostępności diety w pojemności 1000ml.</w:t>
      </w:r>
      <w:r w:rsidR="00C707D9">
        <w:rPr>
          <w:rFonts w:ascii="Fira Sans" w:hAnsi="Fira Sans"/>
          <w:bCs/>
          <w:iCs/>
          <w:sz w:val="22"/>
          <w:szCs w:val="22"/>
        </w:rPr>
        <w:t xml:space="preserve"> </w:t>
      </w:r>
      <w:r w:rsidRPr="007565A2">
        <w:rPr>
          <w:rFonts w:ascii="Fira Sans" w:hAnsi="Fira Sans"/>
          <w:bCs/>
          <w:iCs/>
          <w:sz w:val="22"/>
          <w:szCs w:val="22"/>
        </w:rPr>
        <w:t>Pozostałe parametry zgodne z SWZ</w:t>
      </w:r>
    </w:p>
    <w:p w14:paraId="3AAC996D" w14:textId="29DD5D65" w:rsidR="002C5C1D" w:rsidRPr="00B217B3" w:rsidRDefault="002C5C1D" w:rsidP="00493994">
      <w:pPr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707D9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0A86AB1D" w14:textId="77777777" w:rsidR="00F85971" w:rsidRPr="00B217B3" w:rsidRDefault="00F85971" w:rsidP="002C5C1D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49399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2F67A7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53EA4E84">
              <wp:simplePos x="0" y="0"/>
              <wp:positionH relativeFrom="margin">
                <wp:align>right</wp:align>
              </wp:positionH>
              <wp:positionV relativeFrom="paragraph">
                <wp:posOffset>135774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DEF8DFA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10.7pt" to="850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DbsFtoAAAAGAQAADwAAAGRycy9kb3ducmV2&#10;LnhtbEyPwU7DMBBE70j8g7VIXBB1XKEK0jhVhcQH0FK1x028xFHjdYjdJP17jDjAcWdGM2+Lzew6&#10;MdIQWs8a1CIDQVx703Kj4WP/9vgMIkRkg51n0nClAJvy9qbA3PiJ32ncxUakEg45arAx9rmUobbk&#10;MCx8T5y8Tz84jOkcGmkGnFK56+Qyy1bSYctpwWJPr5bq8+7iNFRqP85fV3s8+AdFzZbVdDoetL6/&#10;m7drEJHm+BeGH/yEDmViqvyFTRCdhvRI1LBUTyCS+5KpFYjqV5BlIf/jl98A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KDbsFtoAAAAGAQAADwAAAAAAAAAAAAAAAAASBAAAZHJzL2Rv&#10;d25yZXYueG1sUEsFBgAAAAAEAAQA8wAAABkFAAAAAA=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A33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1F742B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25965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994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A0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015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565A2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516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1184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64C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1F15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0AAA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07D9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0698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76D23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2273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7BC"/>
    <w:rsid w:val="00FE1CBB"/>
    <w:rsid w:val="00FE5070"/>
    <w:rsid w:val="00FE5582"/>
    <w:rsid w:val="00FE5A27"/>
    <w:rsid w:val="00FE71F3"/>
    <w:rsid w:val="00FF0266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2076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15051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23</cp:revision>
  <cp:lastPrinted>2020-12-08T10:06:00Z</cp:lastPrinted>
  <dcterms:created xsi:type="dcterms:W3CDTF">2023-01-10T11:30:00Z</dcterms:created>
  <dcterms:modified xsi:type="dcterms:W3CDTF">2024-08-29T06:14:00Z</dcterms:modified>
</cp:coreProperties>
</file>