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rPr>
      </w:pPr>
      <w:r>
        <w:rPr>
          <w:rFonts w:ascii="Calibri" w:hAnsi="Calibri"/>
        </w:rPr>
      </w:r>
    </w:p>
    <w:p>
      <w:pPr>
        <w:pStyle w:val="Tytu"/>
        <w:spacing w:lineRule="auto" w:line="480"/>
        <w:jc w:val="right"/>
        <w:rPr/>
      </w:pPr>
      <w:r>
        <w:rPr>
          <w:rFonts w:ascii="Calibri" w:hAnsi="Calibri"/>
        </w:rPr>
        <w:tab/>
      </w:r>
      <w:r>
        <w:rPr>
          <w:rFonts w:eastAsia="Arial" w:cs="Arial" w:ascii="Calibri" w:hAnsi="Calibri"/>
          <w:sz w:val="22"/>
          <w:szCs w:val="22"/>
        </w:rPr>
        <w:t xml:space="preserve">Numer sprawy: </w:t>
      </w:r>
      <w:r>
        <w:rPr>
          <w:rFonts w:ascii="Calibri" w:hAnsi="Calibri"/>
          <w:sz w:val="22"/>
          <w:szCs w:val="22"/>
        </w:rPr>
        <w:t>DKW.2232.2.2024.DG</w:t>
      </w:r>
    </w:p>
    <w:p>
      <w:pPr>
        <w:pStyle w:val="Standard"/>
        <w:spacing w:lineRule="auto" w:line="480"/>
        <w:rPr>
          <w:rFonts w:ascii="Calibri" w:hAnsi="Calibri" w:eastAsia="Arial" w:cs="Arial"/>
          <w:b/>
          <w:b/>
          <w:bCs/>
          <w:sz w:val="32"/>
          <w:szCs w:val="32"/>
        </w:rPr>
      </w:pPr>
      <w:r>
        <w:rPr>
          <w:rFonts w:eastAsia="Arial" w:cs="Arial" w:ascii="Calibri" w:hAnsi="Calibri"/>
          <w:b/>
          <w:bCs/>
          <w:sz w:val="32"/>
          <w:szCs w:val="32"/>
        </w:rPr>
      </w:r>
    </w:p>
    <w:p>
      <w:pPr>
        <w:pStyle w:val="Standard"/>
        <w:spacing w:lineRule="auto" w:line="480"/>
        <w:rPr>
          <w:rFonts w:ascii="Calibri" w:hAnsi="Calibri" w:eastAsia="Arial" w:cs="Arial"/>
          <w:b/>
          <w:b/>
          <w:bCs/>
          <w:sz w:val="22"/>
          <w:szCs w:val="22"/>
        </w:rPr>
      </w:pPr>
      <w:r>
        <w:rPr>
          <w:rFonts w:eastAsia="Arial" w:cs="Arial" w:ascii="Calibri" w:hAnsi="Calibri"/>
          <w:b/>
          <w:bCs/>
          <w:sz w:val="22"/>
          <w:szCs w:val="22"/>
        </w:rPr>
      </w:r>
    </w:p>
    <w:p>
      <w:pPr>
        <w:pStyle w:val="Standard"/>
        <w:spacing w:lineRule="auto" w:line="276"/>
        <w:jc w:val="center"/>
        <w:rPr>
          <w:rFonts w:ascii="Calibri" w:hAnsi="Calibri" w:eastAsia="Arial" w:cs="Arial"/>
          <w:b/>
          <w:b/>
          <w:bCs/>
          <w:sz w:val="28"/>
          <w:szCs w:val="28"/>
        </w:rPr>
      </w:pPr>
      <w:r>
        <w:rPr>
          <w:rFonts w:eastAsia="Arial" w:cs="Arial" w:ascii="Calibri" w:hAnsi="Calibri"/>
          <w:b/>
          <w:bCs/>
          <w:sz w:val="28"/>
          <w:szCs w:val="28"/>
        </w:rPr>
        <w:t>SPECYFIKACJA WARUNKÓW ZAMÓWIENIA</w:t>
      </w:r>
    </w:p>
    <w:p>
      <w:pPr>
        <w:pStyle w:val="Standard"/>
        <w:spacing w:lineRule="auto" w:line="276"/>
        <w:jc w:val="center"/>
        <w:rPr>
          <w:rFonts w:ascii="Calibri" w:hAnsi="Calibri" w:eastAsia="Arial" w:cs="Arial"/>
          <w:bCs/>
          <w:sz w:val="22"/>
          <w:szCs w:val="22"/>
        </w:rPr>
      </w:pPr>
      <w:r>
        <w:rPr>
          <w:rFonts w:eastAsia="Arial" w:cs="Arial" w:ascii="Calibri" w:hAnsi="Calibri"/>
          <w:bCs/>
          <w:sz w:val="22"/>
          <w:szCs w:val="22"/>
        </w:rPr>
        <w:t>zwaną dalej „swz”</w:t>
      </w:r>
    </w:p>
    <w:p>
      <w:pPr>
        <w:pStyle w:val="Standard"/>
        <w:spacing w:lineRule="auto" w:line="276"/>
        <w:jc w:val="center"/>
        <w:rPr>
          <w:rFonts w:ascii="Calibri" w:hAnsi="Calibri" w:eastAsia="Arial" w:cs="Arial"/>
          <w:sz w:val="22"/>
          <w:szCs w:val="22"/>
        </w:rPr>
      </w:pPr>
      <w:r>
        <w:rPr>
          <w:rFonts w:eastAsia="Arial" w:cs="Arial" w:ascii="Calibri" w:hAnsi="Calibri"/>
          <w:sz w:val="22"/>
          <w:szCs w:val="22"/>
        </w:rPr>
        <w:t>w postępowaniu o udzielenie zamówienia publicznego prowadzonego w trybie podstawowym</w:t>
      </w:r>
    </w:p>
    <w:p>
      <w:pPr>
        <w:pStyle w:val="Standard"/>
        <w:spacing w:lineRule="auto" w:line="276"/>
        <w:jc w:val="center"/>
        <w:rPr/>
      </w:pPr>
      <w:r>
        <w:rPr>
          <w:rFonts w:eastAsia="Arial" w:cs="Arial" w:ascii="Calibri" w:hAnsi="Calibri"/>
          <w:sz w:val="22"/>
          <w:szCs w:val="22"/>
        </w:rPr>
        <w:t xml:space="preserve">na dostawy o wartości nie przekraczającej progów unijnych, </w:t>
      </w:r>
    </w:p>
    <w:p>
      <w:pPr>
        <w:pStyle w:val="Standard"/>
        <w:spacing w:lineRule="auto" w:line="276"/>
        <w:jc w:val="center"/>
        <w:rPr>
          <w:rFonts w:ascii="Calibri" w:hAnsi="Calibri" w:eastAsia="Arial" w:cs="Arial"/>
          <w:sz w:val="22"/>
          <w:szCs w:val="22"/>
        </w:rPr>
      </w:pPr>
      <w:r>
        <w:rPr>
          <w:rFonts w:eastAsia="Arial" w:cs="Arial" w:ascii="Calibri" w:hAnsi="Calibri"/>
          <w:sz w:val="22"/>
          <w:szCs w:val="22"/>
        </w:rPr>
        <w:t xml:space="preserve">sporządzonego na podstawie art. 275 pkt. 1 ustawy z dnia 11 września 2019 r. Prawo zamówień publicznych </w:t>
      </w:r>
    </w:p>
    <w:p>
      <w:pPr>
        <w:pStyle w:val="Normal"/>
        <w:spacing w:lineRule="auto" w:line="360"/>
        <w:jc w:val="center"/>
        <w:rPr/>
      </w:pPr>
      <w:r>
        <w:rPr>
          <w:rFonts w:eastAsia="Times New Roman" w:cs="Calibri" w:ascii="Calibri" w:hAnsi="Calibri"/>
          <w:b w:val="false"/>
          <w:bCs w:val="false"/>
          <w:strike w:val="false"/>
          <w:dstrike w:val="false"/>
          <w:color w:val="auto"/>
          <w:sz w:val="22"/>
          <w:szCs w:val="22"/>
          <w:lang w:val="pl-PL" w:eastAsia="zxx" w:bidi="ar-SA"/>
        </w:rPr>
        <w:t>(t.j. Dz. U. z 2023r. poz. 1605, 1720 z poź. zm.),</w:t>
      </w:r>
      <w:r>
        <w:rPr>
          <w:rFonts w:eastAsia="Times New Roman" w:cs="Times New Roman" w:ascii="Calibri" w:hAnsi="Calibri"/>
          <w:b/>
          <w:color w:val="auto"/>
          <w:sz w:val="22"/>
          <w:szCs w:val="22"/>
          <w:lang w:val="pl-PL" w:eastAsia="zxx" w:bidi="ar-SA"/>
        </w:rPr>
        <w:t xml:space="preserve">                                                                </w:t>
      </w:r>
      <w:r>
        <w:rPr>
          <w:rFonts w:eastAsia="Times New Roman" w:cs="Times New Roman" w:ascii="Calibri" w:hAnsi="Calibri"/>
          <w:color w:val="auto"/>
          <w:sz w:val="22"/>
          <w:szCs w:val="22"/>
          <w:lang w:val="pl-PL" w:eastAsia="zxx" w:bidi="ar-SA"/>
        </w:rPr>
        <w:t xml:space="preserve">                                                                           </w:t>
      </w:r>
    </w:p>
    <w:p>
      <w:pPr>
        <w:pStyle w:val="Standard"/>
        <w:spacing w:lineRule="auto" w:line="276"/>
        <w:jc w:val="center"/>
        <w:rPr>
          <w:rFonts w:ascii="Calibri" w:hAnsi="Calibri"/>
          <w:sz w:val="22"/>
          <w:szCs w:val="22"/>
        </w:rPr>
      </w:pPr>
      <w:r>
        <w:rPr>
          <w:rFonts w:ascii="Calibri" w:hAnsi="Calibri"/>
          <w:sz w:val="22"/>
          <w:szCs w:val="22"/>
        </w:rPr>
        <w:t>zwaną dalej „ustawą Pzp”</w:t>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spacing w:lineRule="auto" w:line="276"/>
        <w:jc w:val="center"/>
        <w:rPr>
          <w:rFonts w:ascii="Calibri" w:hAnsi="Calibri" w:eastAsia="Arial" w:cs="Arial"/>
          <w:b/>
          <w:b/>
          <w:bCs/>
          <w:sz w:val="22"/>
          <w:szCs w:val="22"/>
          <w:u w:val="single"/>
        </w:rPr>
      </w:pPr>
      <w:r>
        <w:rPr>
          <w:rFonts w:eastAsia="Arial" w:cs="Arial" w:ascii="Calibri" w:hAnsi="Calibri"/>
          <w:b/>
          <w:bCs/>
          <w:sz w:val="22"/>
          <w:szCs w:val="22"/>
          <w:u w:val="single"/>
        </w:rPr>
        <w:t>PRZEDMIOT ZAMÓWIENIA:</w:t>
      </w:r>
    </w:p>
    <w:p>
      <w:pPr>
        <w:pStyle w:val="Standard"/>
        <w:spacing w:lineRule="auto" w:line="276"/>
        <w:jc w:val="center"/>
        <w:rPr/>
      </w:pPr>
      <w:r>
        <w:rPr>
          <w:rFonts w:eastAsia="Arial" w:cs="Arial" w:ascii="Calibri" w:hAnsi="Calibri"/>
          <w:b w:val="false"/>
          <w:bCs w:val="false"/>
          <w:sz w:val="22"/>
          <w:szCs w:val="22"/>
        </w:rPr>
        <w:t xml:space="preserve">Przedmiotem zamówienia są sukcesywne dostawy </w:t>
      </w:r>
      <w:bookmarkStart w:id="0" w:name="__DdeLink__1204_1711847081"/>
      <w:r>
        <w:rPr>
          <w:rFonts w:eastAsia="Arial" w:cs="Arial" w:ascii="Calibri" w:hAnsi="Calibri"/>
          <w:b w:val="false"/>
          <w:bCs w:val="false"/>
          <w:kern w:val="2"/>
          <w:sz w:val="22"/>
          <w:szCs w:val="22"/>
          <w:lang w:eastAsia="ar-SA"/>
        </w:rPr>
        <w:t>ziemiopłodów, warzyw przetworzonych, owoców</w:t>
      </w:r>
      <w:bookmarkEnd w:id="0"/>
      <w:r>
        <w:rPr>
          <w:rFonts w:eastAsia="Arial" w:cs="Arial" w:ascii="Calibri" w:hAnsi="Calibri"/>
          <w:b w:val="false"/>
          <w:bCs w:val="false"/>
          <w:sz w:val="22"/>
          <w:szCs w:val="22"/>
        </w:rPr>
        <w:t xml:space="preserve"> na potrzeby </w:t>
      </w:r>
    </w:p>
    <w:p>
      <w:pPr>
        <w:pStyle w:val="Standard"/>
        <w:spacing w:lineRule="auto" w:line="276"/>
        <w:jc w:val="center"/>
        <w:rPr>
          <w:rFonts w:ascii="Calibri" w:hAnsi="Calibri" w:eastAsia="Arial" w:cs="Arial"/>
          <w:b w:val="false"/>
          <w:b w:val="false"/>
          <w:bCs w:val="false"/>
          <w:sz w:val="22"/>
          <w:szCs w:val="22"/>
        </w:rPr>
      </w:pPr>
      <w:r>
        <w:rPr>
          <w:rFonts w:eastAsia="Arial" w:cs="Arial" w:ascii="Calibri" w:hAnsi="Calibri"/>
          <w:b w:val="false"/>
          <w:bCs w:val="false"/>
          <w:sz w:val="22"/>
          <w:szCs w:val="22"/>
        </w:rPr>
        <w:t xml:space="preserve">Zakładu Karnego w  Wierzchowie </w:t>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i/>
          <w:i/>
          <w:iCs/>
          <w:sz w:val="22"/>
          <w:szCs w:val="22"/>
        </w:rPr>
      </w:pPr>
      <w:r>
        <w:rPr>
          <w:rFonts w:eastAsia="Arial" w:cs="Arial" w:ascii="Calibri" w:hAnsi="Calibri"/>
          <w:i/>
          <w:iCs/>
          <w:sz w:val="22"/>
          <w:szCs w:val="22"/>
        </w:rPr>
      </w:r>
    </w:p>
    <w:p>
      <w:pPr>
        <w:pStyle w:val="Standard"/>
        <w:jc w:val="center"/>
        <w:rPr/>
      </w:pPr>
      <w:r>
        <w:rPr>
          <w:rFonts w:eastAsia="Arial" w:cs="Arial" w:ascii="Calibri" w:hAnsi="Calibri"/>
          <w:b/>
          <w:bCs/>
          <w:sz w:val="22"/>
          <w:szCs w:val="22"/>
        </w:rPr>
        <w:t xml:space="preserve">                               </w:t>
      </w:r>
      <w:r>
        <w:rPr>
          <w:rFonts w:eastAsia="Arial" w:cs="Arial" w:ascii="Calibri" w:hAnsi="Calibri"/>
          <w:b/>
          <w:bCs/>
          <w:sz w:val="22"/>
          <w:szCs w:val="22"/>
        </w:rPr>
        <w:t>SPORZĄDZIŁ:</w:t>
      </w:r>
      <w:r>
        <w:rPr>
          <w:rFonts w:eastAsia="Arial" w:cs="Arial" w:ascii="Calibri" w:hAnsi="Calibri"/>
          <w:i/>
          <w:iCs/>
          <w:sz w:val="22"/>
          <w:szCs w:val="22"/>
        </w:rPr>
        <w:tab/>
        <w:tab/>
        <w:tab/>
        <w:tab/>
      </w:r>
      <w:r>
        <w:rPr>
          <w:rFonts w:eastAsia="Arial" w:cs="Arial" w:ascii="Calibri" w:hAnsi="Calibri"/>
          <w:sz w:val="22"/>
          <w:szCs w:val="22"/>
        </w:rPr>
        <w:tab/>
        <w:tab/>
        <w:t xml:space="preserve">   </w:t>
        <w:tab/>
        <w:t xml:space="preserve"> </w:t>
      </w:r>
      <w:r>
        <w:rPr>
          <w:rFonts w:eastAsia="Arial" w:cs="Arial" w:ascii="Calibri" w:hAnsi="Calibri"/>
          <w:b/>
          <w:bCs/>
          <w:sz w:val="22"/>
          <w:szCs w:val="22"/>
        </w:rPr>
        <w:t>ZATWIERDZIŁ:</w:t>
      </w:r>
      <w:r>
        <w:rPr>
          <w:rFonts w:eastAsia="Arial" w:cs="Arial" w:ascii="Calibri" w:hAnsi="Calibri"/>
          <w:sz w:val="22"/>
          <w:szCs w:val="22"/>
        </w:rPr>
        <w:tab/>
        <w:tab/>
        <w:tab/>
        <w:tab/>
        <w:tab/>
        <w:tab/>
        <w:tab/>
        <w:tab/>
      </w:r>
    </w:p>
    <w:p>
      <w:pPr>
        <w:pStyle w:val="Standard"/>
        <w:ind w:left="0" w:right="0" w:hanging="0"/>
        <w:rPr>
          <w:rFonts w:ascii="Calibri" w:hAnsi="Calibri" w:eastAsia="Arial" w:cs="Arial"/>
          <w:sz w:val="22"/>
          <w:szCs w:val="22"/>
        </w:rPr>
      </w:pPr>
      <w:r>
        <mc:AlternateContent>
          <mc:Choice Requires="wps">
            <w:drawing>
              <wp:anchor behindDoc="0" distT="0" distB="0" distL="114300" distR="114300" simplePos="0" locked="0" layoutInCell="1" allowOverlap="1" relativeHeight="2">
                <wp:simplePos x="0" y="0"/>
                <wp:positionH relativeFrom="column">
                  <wp:posOffset>-2419985</wp:posOffset>
                </wp:positionH>
                <wp:positionV relativeFrom="paragraph">
                  <wp:posOffset>134620</wp:posOffset>
                </wp:positionV>
                <wp:extent cx="6350" cy="133985"/>
                <wp:effectExtent l="0" t="0" r="0" b="0"/>
                <wp:wrapSquare wrapText="bothSides"/>
                <wp:docPr id="1" name="Ramka2"/>
                <a:graphic xmlns:a="http://schemas.openxmlformats.org/drawingml/2006/main">
                  <a:graphicData uri="http://schemas.microsoft.com/office/word/2010/wordprocessingShape">
                    <wps:wsp>
                      <wps:cNvSpPr/>
                      <wps:spPr>
                        <a:xfrm>
                          <a:off x="0" y="0"/>
                          <a:ext cx="5760" cy="133200"/>
                        </a:xfrm>
                        <a:prstGeom prst="rect">
                          <a:avLst/>
                        </a:prstGeom>
                        <a:noFill/>
                        <a:ln>
                          <a:noFill/>
                        </a:ln>
                      </wps:spPr>
                      <wps:style>
                        <a:lnRef idx="0"/>
                        <a:fillRef idx="0"/>
                        <a:effectRef idx="0"/>
                        <a:fontRef idx="minor"/>
                      </wps:style>
                      <wps:txbx>
                        <w:txbxContent>
                          <w:p>
                            <w:pPr>
                              <w:pStyle w:val="NoSpacing"/>
                              <w:jc w:val="right"/>
                              <w:rPr>
                                <w:color w:val="000000"/>
                              </w:rPr>
                            </w:pPr>
                            <w:r>
                              <w:rPr>
                                <w:color w:val="000000"/>
                              </w:rPr>
                            </w:r>
                          </w:p>
                        </w:txbxContent>
                      </wps:txbx>
                      <wps:bodyPr lIns="1600200" rIns="685800" tIns="0" bIns="0">
                        <a:noAutofit/>
                      </wps:bodyPr>
                    </wps:wsp>
                  </a:graphicData>
                </a:graphic>
              </wp:anchor>
            </w:drawing>
          </mc:Choice>
          <mc:Fallback>
            <w:pict>
              <v:rect id="shape_0" ID="Ramka2" stroked="f" style="position:absolute;margin-left:-190.55pt;margin-top:10.6pt;width:0.4pt;height:10.45pt">
                <w10:wrap type="none"/>
                <v:fill o:detectmouseclick="t" on="false"/>
                <v:stroke color="#3465a4" joinstyle="round" endcap="flat"/>
                <v:textbox>
                  <w:txbxContent>
                    <w:p>
                      <w:pPr>
                        <w:pStyle w:val="NoSpacing"/>
                        <w:jc w:val="right"/>
                        <w:rPr>
                          <w:color w:val="000000"/>
                        </w:rPr>
                      </w:pPr>
                      <w:r>
                        <w:rPr>
                          <w:color w:val="000000"/>
                        </w:rPr>
                      </w:r>
                    </w:p>
                  </w:txbxContent>
                </v:textbox>
              </v:rect>
            </w:pict>
          </mc:Fallback>
        </mc:AlternateContent>
      </w:r>
      <w:r>
        <w:rPr>
          <w:rFonts w:eastAsia="Arial" w:cs="Arial" w:ascii="Calibri" w:hAnsi="Calibri"/>
          <w:sz w:val="22"/>
          <w:szCs w:val="22"/>
        </w:rPr>
        <w:tab/>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ind w:left="0" w:right="0" w:hanging="0"/>
        <w:rPr>
          <w:rFonts w:ascii="Calibri" w:hAnsi="Calibri" w:eastAsia="Arial" w:cs="Arial"/>
          <w:sz w:val="22"/>
          <w:szCs w:val="22"/>
        </w:rPr>
      </w:pPr>
      <w:r>
        <w:rPr>
          <w:rFonts w:eastAsia="Arial" w:cs="Arial" w:ascii="Calibri" w:hAnsi="Calibri"/>
          <w:sz w:val="22"/>
          <w:szCs w:val="22"/>
        </w:rPr>
      </w:r>
    </w:p>
    <w:p>
      <w:pPr>
        <w:pStyle w:val="Standard"/>
        <w:jc w:val="left"/>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pPr>
      <w:r>
        <w:rPr>
          <w:rFonts w:eastAsia="Arial" w:cs="Arial" w:ascii="Calibri" w:hAnsi="Calibri"/>
          <w:sz w:val="22"/>
          <w:szCs w:val="22"/>
        </w:rPr>
        <w:t>Wierzchowo, dnia 29 sierpnia 2024r.</w:t>
      </w:r>
    </w:p>
    <w:p>
      <w:pPr>
        <w:pStyle w:val="Podtytu"/>
        <w:spacing w:lineRule="auto" w:line="360"/>
        <w:rPr/>
      </w:pPr>
      <w:r>
        <w:rPr>
          <w:rFonts w:eastAsia="Times New Roman" w:cs="Times New Roman" w:ascii="Calibri" w:hAnsi="Calibri"/>
          <w:b/>
          <w:bCs/>
          <w:i w:val="false"/>
          <w:iCs w:val="false"/>
          <w:sz w:val="22"/>
          <w:szCs w:val="22"/>
        </w:rPr>
        <w:t>SPECYFIKACJA WARUNKÓW ZAMÓWIENIA</w:t>
      </w:r>
    </w:p>
    <w:p>
      <w:pPr>
        <w:pStyle w:val="Textbody"/>
        <w:rPr/>
      </w:pPr>
      <w:r>
        <w:rPr>
          <w:rFonts w:ascii="Calibri" w:hAnsi="Calibri"/>
          <w:bCs/>
          <w:i/>
          <w:iCs/>
          <w:sz w:val="22"/>
          <w:szCs w:val="22"/>
          <w:u w:val="single"/>
        </w:rPr>
        <w:t>ROZDZIAŁ 1:</w:t>
      </w:r>
      <w:r>
        <w:rPr>
          <w:rFonts w:ascii="Calibri" w:hAnsi="Calibri"/>
          <w:bCs/>
          <w:sz w:val="22"/>
          <w:szCs w:val="22"/>
          <w:u w:val="single"/>
        </w:rPr>
        <w:t xml:space="preserve"> NAZWA (FIRMA) ORAZ ADRES ZAMAWIAJĄCEGO, NUMER TELEFONU, ADRES POCZTY ELEKTRONICZNEJ ORAZ STRONY INTERNETOWEJ PROWADZONEGO POSTĘPOWANIA</w:t>
      </w:r>
    </w:p>
    <w:p>
      <w:pPr>
        <w:pStyle w:val="Standard"/>
        <w:numPr>
          <w:ilvl w:val="0"/>
          <w:numId w:val="16"/>
        </w:numPr>
        <w:jc w:val="both"/>
        <w:rPr/>
      </w:pPr>
      <w:r>
        <w:rPr>
          <w:rFonts w:cs="Arial" w:ascii="Calibri" w:hAnsi="Calibri"/>
          <w:sz w:val="22"/>
          <w:szCs w:val="22"/>
        </w:rPr>
        <w:t xml:space="preserve">Zakład Karny w Wierzchowie ul. Szkolna 8, 78 – 530 Wierzchowo </w:t>
      </w:r>
    </w:p>
    <w:p>
      <w:pPr>
        <w:pStyle w:val="Standard"/>
        <w:numPr>
          <w:ilvl w:val="0"/>
          <w:numId w:val="16"/>
        </w:numPr>
        <w:jc w:val="both"/>
        <w:rPr/>
      </w:pPr>
      <w:r>
        <w:rPr>
          <w:rFonts w:cs="Arial" w:ascii="Calibri" w:hAnsi="Calibri"/>
          <w:sz w:val="22"/>
          <w:szCs w:val="22"/>
        </w:rPr>
        <w:t>Tel. (094) 34 00 700</w:t>
      </w:r>
    </w:p>
    <w:p>
      <w:pPr>
        <w:pStyle w:val="Standard"/>
        <w:numPr>
          <w:ilvl w:val="0"/>
          <w:numId w:val="16"/>
        </w:numPr>
        <w:jc w:val="both"/>
        <w:rPr/>
      </w:pPr>
      <w:bookmarkStart w:id="1" w:name="__DdeLink__534_794044563"/>
      <w:r>
        <w:rPr>
          <w:rFonts w:cs="Arial" w:ascii="Calibri" w:hAnsi="Calibri"/>
          <w:sz w:val="22"/>
          <w:szCs w:val="22"/>
        </w:rPr>
        <w:t>Fax. (094) 34 00 707</w:t>
      </w:r>
      <w:bookmarkEnd w:id="1"/>
    </w:p>
    <w:p>
      <w:pPr>
        <w:pStyle w:val="Standard"/>
        <w:numPr>
          <w:ilvl w:val="0"/>
          <w:numId w:val="16"/>
        </w:numPr>
        <w:jc w:val="both"/>
        <w:rPr/>
      </w:pPr>
      <w:r>
        <w:rPr>
          <w:rFonts w:cs="Arial" w:ascii="Calibri" w:hAnsi="Calibri"/>
          <w:sz w:val="22"/>
          <w:szCs w:val="22"/>
        </w:rPr>
        <w:t>NIP: 674 10 84 513</w:t>
      </w:r>
    </w:p>
    <w:p>
      <w:pPr>
        <w:pStyle w:val="Standard"/>
        <w:numPr>
          <w:ilvl w:val="0"/>
          <w:numId w:val="16"/>
        </w:numPr>
        <w:jc w:val="both"/>
        <w:rPr/>
      </w:pPr>
      <w:r>
        <w:rPr>
          <w:rFonts w:cs="Arial" w:ascii="Calibri" w:hAnsi="Calibri"/>
          <w:sz w:val="22"/>
          <w:szCs w:val="22"/>
        </w:rPr>
        <w:t>REGON: 000601969</w:t>
      </w:r>
    </w:p>
    <w:p>
      <w:pPr>
        <w:pStyle w:val="Standard"/>
        <w:numPr>
          <w:ilvl w:val="0"/>
          <w:numId w:val="16"/>
        </w:numPr>
        <w:jc w:val="both"/>
        <w:rPr/>
      </w:pPr>
      <w:r>
        <w:rPr>
          <w:rFonts w:cs="Arial" w:ascii="Calibri" w:hAnsi="Calibri"/>
          <w:sz w:val="22"/>
          <w:szCs w:val="22"/>
        </w:rPr>
        <w:t>Adres strony internetowej Zamawiającego: www.sw.gov.pl</w:t>
      </w:r>
    </w:p>
    <w:p>
      <w:pPr>
        <w:pStyle w:val="Standard"/>
        <w:numPr>
          <w:ilvl w:val="0"/>
          <w:numId w:val="16"/>
        </w:numPr>
        <w:jc w:val="both"/>
        <w:rPr/>
      </w:pPr>
      <w:r>
        <w:rPr>
          <w:rFonts w:cs="Arial" w:ascii="Calibri" w:hAnsi="Calibri"/>
          <w:sz w:val="22"/>
          <w:szCs w:val="22"/>
        </w:rPr>
        <w:t xml:space="preserve">Adres poczty elektronicznej: </w:t>
      </w:r>
      <w:r>
        <w:rPr>
          <w:rFonts w:cs="Arial" w:ascii="Calibri" w:hAnsi="Calibri"/>
          <w:b w:val="false"/>
          <w:i w:val="false"/>
          <w:caps w:val="false"/>
          <w:smallCaps w:val="false"/>
          <w:color w:val="333333"/>
          <w:spacing w:val="0"/>
          <w:sz w:val="22"/>
          <w:szCs w:val="22"/>
        </w:rPr>
        <w:t>wierzchowo@sw.gov.pl</w:t>
      </w:r>
      <w:r>
        <w:rPr>
          <w:rFonts w:cs="Arial" w:ascii="Calibri" w:hAnsi="Calibri"/>
          <w:sz w:val="22"/>
          <w:szCs w:val="22"/>
        </w:rPr>
        <w:t xml:space="preserve"> </w:t>
      </w:r>
    </w:p>
    <w:p>
      <w:pPr>
        <w:pStyle w:val="Standard"/>
        <w:numPr>
          <w:ilvl w:val="0"/>
          <w:numId w:val="16"/>
        </w:numPr>
        <w:jc w:val="both"/>
        <w:rPr/>
      </w:pPr>
      <w:r>
        <w:rPr>
          <w:rFonts w:cs="Arial" w:ascii="Calibri" w:hAnsi="Calibri"/>
          <w:sz w:val="22"/>
          <w:szCs w:val="22"/>
        </w:rPr>
        <w:t>Adres strony internetowej prowadzonego postępowania:</w:t>
      </w:r>
      <w:r>
        <w:rPr/>
        <w:t xml:space="preserve"> </w:t>
      </w:r>
      <w:hyperlink r:id="rId2">
        <w:bookmarkStart w:id="2" w:name="__DdeLink__1675_991765912"/>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bookmarkEnd w:id="2"/>
    </w:p>
    <w:p>
      <w:pPr>
        <w:pStyle w:val="Standard"/>
        <w:numPr>
          <w:ilvl w:val="0"/>
          <w:numId w:val="16"/>
        </w:numPr>
        <w:jc w:val="both"/>
        <w:rPr/>
      </w:pPr>
      <w:r>
        <w:rPr>
          <w:rFonts w:cs="Arial" w:ascii="Calibri" w:hAnsi="Calibri"/>
          <w:sz w:val="22"/>
          <w:szCs w:val="22"/>
        </w:rPr>
        <w:t>Godziny urzędowania: od poniedziałku do piątku w godz. 7:00 do 15:00</w:t>
      </w:r>
    </w:p>
    <w:p>
      <w:pPr>
        <w:pStyle w:val="Standard"/>
        <w:jc w:val="both"/>
        <w:rPr/>
      </w:pPr>
      <w:r>
        <w:rPr/>
      </w:r>
    </w:p>
    <w:p>
      <w:pPr>
        <w:pStyle w:val="Standard"/>
        <w:jc w:val="both"/>
        <w:rPr/>
      </w:pPr>
      <w:r>
        <w:rPr>
          <w:rFonts w:ascii="Calibri" w:hAnsi="Calibri"/>
          <w:b/>
          <w:bCs/>
          <w:i/>
          <w:iCs/>
          <w:sz w:val="22"/>
          <w:szCs w:val="22"/>
          <w:u w:val="single"/>
        </w:rPr>
        <w:t>ROZDZIAŁ 2:</w:t>
      </w:r>
      <w:r>
        <w:rPr>
          <w:rFonts w:ascii="Calibri" w:hAnsi="Calibri"/>
          <w:b/>
          <w:bCs/>
          <w:sz w:val="22"/>
          <w:szCs w:val="22"/>
          <w:u w:val="single"/>
        </w:rPr>
        <w:t xml:space="preserve"> ADRES STRONY INTERNETOWEJ, NA KTÓREJ UDOSTĘPNIANE BĘDĄ ZMIANY I WYJAŚNIENIA TREŚCI SWZ ORAZ INNE DOKUMENTY ZAMÓWIENIA BEZPOŚREDNIO ZWIĄZANE Z POSTĘPOWANIEM O UDZIELENIE ZAMÓWIENIA</w:t>
      </w:r>
    </w:p>
    <w:p>
      <w:pPr>
        <w:pStyle w:val="Standard"/>
        <w:ind w:left="705" w:hanging="0"/>
        <w:jc w:val="both"/>
        <w:rPr/>
      </w:pPr>
      <w:r>
        <w:rPr>
          <w:rFonts w:ascii="Calibri" w:hAnsi="Calibri"/>
          <w:bCs/>
          <w:sz w:val="22"/>
          <w:szCs w:val="22"/>
        </w:rPr>
        <w:t>Zmiany i wyjaśnienia treści swz oraz inne dokumenty zamówienia bezpośrednio związane z postępowaniem      o udzielenie zamówienia, będą udostępniane na:</w:t>
      </w:r>
    </w:p>
    <w:p>
      <w:pPr>
        <w:pStyle w:val="Normal"/>
        <w:numPr>
          <w:ilvl w:val="0"/>
          <w:numId w:val="17"/>
        </w:numPr>
        <w:jc w:val="both"/>
        <w:rPr/>
      </w:pPr>
      <w:r>
        <w:rPr>
          <w:rFonts w:ascii="Calibri" w:hAnsi="Calibri"/>
          <w:bCs/>
          <w:sz w:val="22"/>
          <w:szCs w:val="22"/>
        </w:rPr>
        <w:t>stronie internetowej</w:t>
      </w:r>
      <w:r>
        <w:rPr/>
        <w:t xml:space="preserve"> </w:t>
      </w:r>
      <w:r>
        <w:rPr>
          <w:rFonts w:eastAsia="Times New Roman" w:cs="Times New Roman" w:ascii="Calibri" w:hAnsi="Calibri"/>
          <w:bCs/>
          <w:sz w:val="22"/>
          <w:szCs w:val="22"/>
        </w:rPr>
        <w:t xml:space="preserve">prowadzonego postępowania: </w:t>
      </w:r>
      <w:hyperlink r:id="rId3">
        <w:r>
          <w:rPr>
            <w:rStyle w:val="Czeinternetowe"/>
            <w:rFonts w:eastAsia="Times New Roman" w:cs="Arial" w:ascii="Calibri" w:hAnsi="Calibri"/>
            <w:bCs/>
            <w:sz w:val="22"/>
            <w:szCs w:val="22"/>
          </w:rPr>
          <w:t>Strona główna - Platforma Zakupowa</w:t>
        </w:r>
      </w:hyperlink>
      <w:r>
        <w:rPr>
          <w:rStyle w:val="Czeinternetowe"/>
          <w:rFonts w:eastAsia="Times New Roman" w:cs="Arial" w:ascii="Calibri" w:hAnsi="Calibri"/>
          <w:bCs/>
          <w:sz w:val="22"/>
          <w:szCs w:val="22"/>
        </w:rPr>
        <w:t xml:space="preserve"> </w:t>
      </w:r>
      <w:r>
        <w:rPr>
          <w:rFonts w:eastAsia="Times New Roman" w:cs="Arial" w:ascii="Calibri" w:hAnsi="Calibri"/>
          <w:bCs/>
          <w:sz w:val="22"/>
          <w:szCs w:val="22"/>
        </w:rPr>
        <w:t xml:space="preserve"> </w:t>
      </w:r>
    </w:p>
    <w:p>
      <w:pPr>
        <w:pStyle w:val="Normal"/>
        <w:ind w:left="1425" w:hanging="0"/>
        <w:jc w:val="both"/>
        <w:rPr/>
      </w:pPr>
      <w:r>
        <w:rPr/>
      </w:r>
    </w:p>
    <w:p>
      <w:pPr>
        <w:pStyle w:val="Standard"/>
        <w:tabs>
          <w:tab w:val="clear" w:pos="708"/>
          <w:tab w:val="left" w:pos="7845" w:leader="none"/>
        </w:tabs>
        <w:jc w:val="both"/>
        <w:rPr/>
      </w:pPr>
      <w:r>
        <w:rPr>
          <w:rFonts w:ascii="Calibri" w:hAnsi="Calibri"/>
          <w:b/>
          <w:bCs/>
          <w:i/>
          <w:iCs/>
          <w:sz w:val="22"/>
          <w:szCs w:val="22"/>
          <w:u w:val="single"/>
        </w:rPr>
        <w:t>ROZDZIAŁ 3:</w:t>
      </w:r>
      <w:r>
        <w:rPr>
          <w:rFonts w:ascii="Calibri" w:hAnsi="Calibri"/>
          <w:b/>
          <w:bCs/>
          <w:sz w:val="22"/>
          <w:szCs w:val="22"/>
          <w:u w:val="single"/>
        </w:rPr>
        <w:t xml:space="preserve"> TRYB UDZIELENIA ZAMÓWIENIA</w:t>
      </w:r>
    </w:p>
    <w:p>
      <w:pPr>
        <w:pStyle w:val="Standard"/>
        <w:ind w:left="708" w:hanging="0"/>
        <w:jc w:val="both"/>
        <w:rPr/>
      </w:pPr>
      <w:r>
        <w:rPr>
          <w:rFonts w:cs="Arial" w:asciiTheme="minorHAnsi" w:hAnsiTheme="minorHAnsi"/>
          <w:color w:val="000000"/>
          <w:sz w:val="22"/>
          <w:szCs w:val="22"/>
        </w:rPr>
        <w:t xml:space="preserve">Postępowanie prowadzone jest zgodnie z ustawą z dnia 11 września 2019 r. Prawo zamówień publicznych              </w:t>
      </w:r>
      <w:r>
        <w:rPr>
          <w:rFonts w:eastAsia="Times New Roman" w:cs="Calibri" w:asciiTheme="minorHAnsi" w:hAnsiTheme="minorHAnsi"/>
          <w:b w:val="false"/>
          <w:bCs w:val="false"/>
          <w:strike w:val="false"/>
          <w:dstrike w:val="false"/>
          <w:color w:val="auto"/>
          <w:sz w:val="22"/>
          <w:szCs w:val="22"/>
          <w:lang w:val="pl-PL" w:eastAsia="zxx" w:bidi="ar-SA"/>
        </w:rPr>
        <w:t>(</w:t>
      </w:r>
      <w:r>
        <w:rPr>
          <w:rFonts w:eastAsia="Times New Roman" w:cs="Calibri" w:ascii="Calibri" w:hAnsi="Calibri"/>
          <w:b w:val="false"/>
          <w:bCs w:val="false"/>
          <w:strike w:val="false"/>
          <w:dstrike w:val="false"/>
          <w:color w:val="auto"/>
          <w:sz w:val="22"/>
          <w:szCs w:val="22"/>
          <w:lang w:val="pl-PL" w:eastAsia="zxx" w:bidi="ar-SA"/>
        </w:rPr>
        <w:t>t.j. Dz.U.z 2023r. poz. 1605, 1720 z poź. zm.</w:t>
      </w:r>
      <w:r>
        <w:rPr>
          <w:rFonts w:eastAsia="Times New Roman" w:cs="Calibri" w:asciiTheme="minorHAnsi" w:hAnsiTheme="minorHAnsi"/>
          <w:b w:val="false"/>
          <w:bCs w:val="false"/>
          <w:strike w:val="false"/>
          <w:dstrike w:val="false"/>
          <w:color w:val="auto"/>
          <w:sz w:val="22"/>
          <w:szCs w:val="22"/>
          <w:lang w:val="pl-PL" w:eastAsia="zxx" w:bidi="ar-SA"/>
        </w:rPr>
        <w:t>)</w:t>
      </w:r>
      <w:r>
        <w:rPr>
          <w:rFonts w:cs="Arial" w:asciiTheme="minorHAnsi" w:hAnsiTheme="minorHAnsi"/>
          <w:color w:val="000000"/>
          <w:sz w:val="22"/>
          <w:szCs w:val="22"/>
        </w:rPr>
        <w:t xml:space="preserve"> w trybie podstawowym bez negocjacji na podstawie art. 275 pkt 1.</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 xml:space="preserve">ROZDZIAŁ 4: </w:t>
      </w:r>
      <w:r>
        <w:rPr>
          <w:rFonts w:ascii="Calibri" w:hAnsi="Calibri"/>
          <w:b/>
          <w:bCs/>
          <w:iCs/>
          <w:sz w:val="22"/>
          <w:szCs w:val="22"/>
          <w:u w:val="single"/>
        </w:rPr>
        <w:t>INFORMACJA, CZY ZAMAWIAJĄCY PRZEWIDUJE WYBÓR NAJKORZYSTNIEJSZEJ OFERTY Z MOŻLIWOŚCIĄ PROWADZENIA NEGOCJACJI</w:t>
      </w:r>
      <w:r>
        <w:rPr>
          <w:rFonts w:ascii="Calibri" w:hAnsi="Calibri"/>
          <w:b/>
          <w:bCs/>
          <w:i/>
          <w:iCs/>
          <w:sz w:val="22"/>
          <w:szCs w:val="22"/>
          <w:u w:val="single"/>
        </w:rPr>
        <w:t xml:space="preserve"> </w:t>
      </w:r>
      <w:r>
        <w:rPr>
          <w:rFonts w:ascii="Calibri" w:hAnsi="Calibri"/>
          <w:b/>
          <w:bCs/>
          <w:sz w:val="22"/>
          <w:szCs w:val="22"/>
          <w:u w:val="single"/>
        </w:rPr>
        <w:t xml:space="preserve"> </w:t>
      </w:r>
    </w:p>
    <w:p>
      <w:pPr>
        <w:pStyle w:val="Standard"/>
        <w:jc w:val="both"/>
        <w:rPr/>
      </w:pPr>
      <w:r>
        <w:rPr>
          <w:rFonts w:ascii="Calibri" w:hAnsi="Calibri"/>
          <w:bCs/>
          <w:sz w:val="22"/>
          <w:szCs w:val="22"/>
        </w:rPr>
        <w:tab/>
        <w:t xml:space="preserve">Zamawiający nie przewiduje wyboru najkorzystniejszej oferty z możliwością prowadzenia negocjacji. </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ROZDZIAŁ 5:</w:t>
      </w:r>
      <w:r>
        <w:rPr>
          <w:rFonts w:ascii="Calibri" w:hAnsi="Calibri"/>
          <w:b/>
          <w:bCs/>
          <w:sz w:val="22"/>
          <w:szCs w:val="22"/>
          <w:u w:val="single"/>
        </w:rPr>
        <w:t xml:space="preserve"> OPIS PRZEDMIOTU ZAMÓWIENIA</w:t>
      </w:r>
    </w:p>
    <w:p>
      <w:pPr>
        <w:pStyle w:val="Standard"/>
        <w:numPr>
          <w:ilvl w:val="0"/>
          <w:numId w:val="1"/>
        </w:numPr>
        <w:jc w:val="both"/>
        <w:rPr/>
      </w:pPr>
      <w:r>
        <w:rPr>
          <w:rFonts w:ascii="Calibri" w:hAnsi="Calibri"/>
          <w:sz w:val="22"/>
          <w:szCs w:val="22"/>
        </w:rPr>
        <w:t xml:space="preserve">Przedmiotem zamówienia są sukcesywne dostawy </w:t>
      </w:r>
      <w:r>
        <w:rPr>
          <w:rFonts w:eastAsia="Arial" w:cs="Arial" w:ascii="Calibri" w:hAnsi="Calibri"/>
          <w:b w:val="false"/>
          <w:bCs w:val="false"/>
          <w:kern w:val="2"/>
          <w:sz w:val="22"/>
          <w:szCs w:val="22"/>
          <w:lang w:eastAsia="ar-SA"/>
        </w:rPr>
        <w:t>ziemiopłodów, warzyw przetworzonych, owoców</w:t>
      </w:r>
      <w:r>
        <w:rPr>
          <w:rFonts w:ascii="Calibri" w:hAnsi="Calibri"/>
          <w:sz w:val="22"/>
          <w:szCs w:val="22"/>
        </w:rPr>
        <w:t xml:space="preserve"> na potrzeby Zakładu Karnego w Wierzchowie.</w:t>
      </w:r>
    </w:p>
    <w:p>
      <w:pPr>
        <w:pStyle w:val="Standard"/>
        <w:numPr>
          <w:ilvl w:val="0"/>
          <w:numId w:val="1"/>
        </w:numPr>
        <w:jc w:val="both"/>
        <w:rPr/>
      </w:pPr>
      <w:r>
        <w:rPr>
          <w:rFonts w:ascii="Calibri" w:hAnsi="Calibri"/>
          <w:sz w:val="22"/>
          <w:szCs w:val="22"/>
        </w:rPr>
        <w:t xml:space="preserve">Przedmiot zamówienia, o którym mowa w ust. 1 ma zostać wykonany zgodnie z opisem przedmiotu zamówienia stanowiącym </w:t>
      </w:r>
      <w:r>
        <w:rPr>
          <w:rFonts w:ascii="Calibri" w:hAnsi="Calibri"/>
          <w:b/>
          <w:sz w:val="22"/>
          <w:szCs w:val="22"/>
        </w:rPr>
        <w:t>załącznik nr 1 do swz.</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ROZDZIAŁ 6:</w:t>
      </w:r>
      <w:r>
        <w:rPr>
          <w:rFonts w:ascii="Calibri" w:hAnsi="Calibri"/>
          <w:b/>
          <w:bCs/>
          <w:sz w:val="22"/>
          <w:szCs w:val="22"/>
          <w:u w:val="single"/>
        </w:rPr>
        <w:t xml:space="preserve"> TERMIN WYKONANIA ZAMÓWIENIA</w:t>
      </w:r>
    </w:p>
    <w:p>
      <w:pPr>
        <w:pStyle w:val="Standard"/>
        <w:ind w:left="708" w:hanging="0"/>
        <w:jc w:val="both"/>
        <w:rPr/>
      </w:pPr>
      <w:r>
        <w:rPr>
          <w:rFonts w:ascii="Calibri" w:hAnsi="Calibri"/>
          <w:sz w:val="22"/>
          <w:szCs w:val="22"/>
        </w:rPr>
        <w:t>Termin wykonania zamówienia określa się na 12 miesięcy od dnia podpisania umowy w sprawie zamówienia publicznego.</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7:</w:t>
      </w:r>
      <w:r>
        <w:rPr>
          <w:rFonts w:ascii="Calibri" w:hAnsi="Calibri"/>
          <w:b/>
          <w:bCs/>
          <w:sz w:val="22"/>
          <w:szCs w:val="22"/>
          <w:u w:val="single"/>
        </w:rPr>
        <w:t xml:space="preserve"> PROJEKTOWANE POSTANOWIENIA UMOWY W SPRAWIE ZAMÓWIENIA PUBLICZNEGO, KTÓRE ZOSTANĄ WPROWADZONE DO TREŚCI TEJ UMOWY</w:t>
      </w:r>
    </w:p>
    <w:p>
      <w:pPr>
        <w:pStyle w:val="Standard"/>
        <w:ind w:left="720" w:hanging="0"/>
        <w:jc w:val="both"/>
        <w:rPr/>
      </w:pPr>
      <w:r>
        <w:rPr>
          <w:rFonts w:ascii="Calibri" w:hAnsi="Calibri"/>
          <w:sz w:val="22"/>
          <w:szCs w:val="22"/>
        </w:rPr>
        <w:t xml:space="preserve">Projektowane postanowienia umowy w sprawie zamówienia publicznego, które zostaną wprowadzone do treści umowy, zostały określone we wzorze umowy stanowiącym </w:t>
      </w:r>
      <w:r>
        <w:rPr>
          <w:rFonts w:ascii="Calibri" w:hAnsi="Calibri"/>
          <w:b/>
          <w:sz w:val="22"/>
          <w:szCs w:val="22"/>
        </w:rPr>
        <w:t>załącznik nr 6 do swz.</w:t>
      </w:r>
    </w:p>
    <w:p>
      <w:pPr>
        <w:pStyle w:val="Standard"/>
        <w:ind w:left="720" w:hanging="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8:</w:t>
      </w:r>
      <w:r>
        <w:rPr>
          <w:rFonts w:ascii="Calibri" w:hAnsi="Calibri"/>
          <w:b/>
          <w:bCs/>
          <w:sz w:val="22"/>
          <w:szCs w:val="22"/>
          <w:u w:val="single"/>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Standard"/>
        <w:numPr>
          <w:ilvl w:val="0"/>
          <w:numId w:val="5"/>
        </w:numPr>
        <w:jc w:val="both"/>
        <w:rPr/>
      </w:pPr>
      <w:r>
        <w:rPr>
          <w:rFonts w:asciiTheme="minorHAnsi" w:hAnsiTheme="minorHAnsi"/>
          <w:sz w:val="22"/>
          <w:szCs w:val="22"/>
        </w:rPr>
        <w:t>Komunikacja w postępowaniu o udzielenie zamówienia, w tym składanie ofert, wymiana informacji oraz przekazywanie dokumentów lub oświadczeń pomiędzy Zamawiającym a Wykonawcą, z uwzględnieniem wyjątków określonych w ustawie Pzp odbywa się przy użyciu środków komunikacji elektronicznej w postaci narzędzia - platformy</w:t>
      </w:r>
      <w:r>
        <w:rPr/>
        <w:t xml:space="preserve"> </w:t>
      </w:r>
      <w:r>
        <w:rPr>
          <w:rFonts w:asciiTheme="minorHAnsi" w:hAnsiTheme="minorHAnsi"/>
          <w:sz w:val="22"/>
          <w:szCs w:val="22"/>
        </w:rPr>
        <w:t>dedykowanej jednostkom administracji publicznej, zapewniającą kompleksową obsługę procesu udzielania zamówień publicznych, zwaną dalej „</w:t>
      </w:r>
      <w:hyperlink r:id="rId4">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który dostępny jest pod adresem:</w:t>
      </w:r>
      <w:hyperlink r:id="rId5">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p>
    <w:p>
      <w:pPr>
        <w:pStyle w:val="Normal"/>
        <w:numPr>
          <w:ilvl w:val="0"/>
          <w:numId w:val="5"/>
        </w:numPr>
        <w:jc w:val="both"/>
        <w:rPr/>
      </w:pPr>
      <w:r>
        <w:rPr>
          <w:rFonts w:eastAsia="Times New Roman" w:cs="Times New Roman" w:asciiTheme="minorHAnsi" w:hAnsiTheme="minorHAnsi"/>
          <w:sz w:val="22"/>
          <w:szCs w:val="22"/>
        </w:rPr>
        <w:t xml:space="preserve">Przeglądanie i pobieranie publicznej treści dokumentacji postępowania o udzielenie zamówienia nie wymaga posiadania konta na portalu </w:t>
      </w:r>
      <w:hyperlink r:id="rId6">
        <w:r>
          <w:rPr>
            <w:rStyle w:val="Czeinternetowe"/>
            <w:rFonts w:eastAsia="Times New Roman" w:cs="Arial" w:ascii="Calibri" w:hAnsi="Calibri"/>
            <w:sz w:val="22"/>
            <w:szCs w:val="22"/>
          </w:rPr>
          <w:t>Strona główna - Platforma Zakupowa</w:t>
        </w:r>
      </w:hyperlink>
      <w:r>
        <w:rPr>
          <w:rStyle w:val="Czeinternetowe"/>
          <w:rFonts w:eastAsia="Times New Roman" w:cs="Arial" w:ascii="Calibri" w:hAnsi="Calibri"/>
          <w:sz w:val="22"/>
          <w:szCs w:val="22"/>
        </w:rPr>
        <w:t xml:space="preserve"> </w:t>
      </w:r>
      <w:r>
        <w:rPr>
          <w:rFonts w:eastAsia="Times New Roman" w:cs="Times New Roman" w:asciiTheme="minorHAnsi" w:hAnsiTheme="minorHAnsi"/>
          <w:sz w:val="22"/>
          <w:szCs w:val="22"/>
        </w:rPr>
        <w:t>, ani logowania do</w:t>
      </w:r>
      <w:r>
        <w:rPr/>
        <w:t xml:space="preserve"> </w:t>
      </w:r>
      <w:r>
        <w:rPr>
          <w:rFonts w:eastAsia="Times New Roman" w:cs="Times New Roman" w:asciiTheme="minorHAnsi" w:hAnsiTheme="minorHAnsi"/>
          <w:sz w:val="22"/>
          <w:szCs w:val="22"/>
        </w:rPr>
        <w:t xml:space="preserve">portalu </w:t>
      </w:r>
      <w:hyperlink r:id="rId7">
        <w:r>
          <w:rPr>
            <w:rStyle w:val="Czeinternetowe"/>
            <w:rFonts w:eastAsia="Times New Roman" w:cs="Arial" w:ascii="Calibri" w:hAnsi="Calibri"/>
            <w:sz w:val="22"/>
            <w:szCs w:val="22"/>
          </w:rPr>
          <w:t>Strona główna - Platforma Zakupowa</w:t>
        </w:r>
      </w:hyperlink>
      <w:r>
        <w:rPr>
          <w:rStyle w:val="Czeinternetowe"/>
          <w:rFonts w:eastAsia="Times New Roman" w:cs="Arial" w:ascii="Calibri" w:hAnsi="Calibri"/>
          <w:sz w:val="22"/>
          <w:szCs w:val="22"/>
        </w:rPr>
        <w:t xml:space="preserve">. </w:t>
      </w:r>
    </w:p>
    <w:p>
      <w:pPr>
        <w:pStyle w:val="Standard"/>
        <w:numPr>
          <w:ilvl w:val="0"/>
          <w:numId w:val="5"/>
        </w:numPr>
        <w:jc w:val="both"/>
        <w:rPr/>
      </w:pPr>
      <w:r>
        <w:rPr>
          <w:rFonts w:asciiTheme="minorHAnsi" w:hAnsiTheme="minorHAnsi"/>
          <w:sz w:val="22"/>
          <w:szCs w:val="22"/>
        </w:rPr>
        <w:t>Wykonawca zamierzający wziąć udział w postępowaniu o udzielenie zamówienia publicznego musi posiadać konto na</w:t>
      </w:r>
      <w:r>
        <w:rPr/>
        <w:t xml:space="preserve"> </w:t>
      </w:r>
      <w:r>
        <w:rPr>
          <w:rFonts w:asciiTheme="minorHAnsi" w:hAnsiTheme="minorHAnsi"/>
          <w:sz w:val="22"/>
          <w:szCs w:val="22"/>
        </w:rPr>
        <w:t xml:space="preserve">portalu e-Usług </w:t>
      </w:r>
      <w:hyperlink r:id="rId8">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w:t>
      </w:r>
    </w:p>
    <w:p>
      <w:pPr>
        <w:pStyle w:val="Standard"/>
        <w:numPr>
          <w:ilvl w:val="0"/>
          <w:numId w:val="5"/>
        </w:numPr>
        <w:jc w:val="both"/>
        <w:rPr/>
      </w:pPr>
      <w:r>
        <w:rPr>
          <w:rFonts w:asciiTheme="minorHAnsi" w:hAnsiTheme="minorHAnsi"/>
          <w:sz w:val="22"/>
          <w:szCs w:val="22"/>
        </w:rPr>
        <w:t>Wykonawca posiadający konto na</w:t>
      </w:r>
      <w:r>
        <w:rPr/>
        <w:t xml:space="preserve"> </w:t>
      </w:r>
      <w:r>
        <w:rPr>
          <w:rFonts w:asciiTheme="minorHAnsi" w:hAnsiTheme="minorHAnsi"/>
          <w:sz w:val="22"/>
          <w:szCs w:val="22"/>
        </w:rPr>
        <w:t xml:space="preserve">portalu e-Usług </w:t>
      </w:r>
      <w:hyperlink r:id="rId9">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ma dostęp do dedykowanych formularzy w zakresie: złożenia, zmiany, wycofania oferty oraz do formularza do komunikacji.</w:t>
      </w:r>
    </w:p>
    <w:p>
      <w:pPr>
        <w:pStyle w:val="Standard"/>
        <w:numPr>
          <w:ilvl w:val="0"/>
          <w:numId w:val="5"/>
        </w:numPr>
        <w:jc w:val="both"/>
        <w:rPr/>
      </w:pPr>
      <w:r>
        <w:rPr>
          <w:rFonts w:asciiTheme="minorHAnsi" w:hAnsiTheme="minorHAnsi"/>
          <w:sz w:val="22"/>
          <w:szCs w:val="22"/>
        </w:rPr>
        <w:t xml:space="preserve">Zasady korzystania, wsparcie techniczne, warunki techniczne i organizacyjne wysyłania i odbierania korespondencji elektronicznej określone zostały w regulaminie korzystania z portalu </w:t>
      </w:r>
      <w:hyperlink r:id="rId10">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który stanowi </w:t>
      </w:r>
      <w:r>
        <w:rPr>
          <w:rFonts w:asciiTheme="minorHAnsi" w:hAnsiTheme="minorHAnsi"/>
          <w:b/>
          <w:sz w:val="22"/>
          <w:szCs w:val="22"/>
        </w:rPr>
        <w:t xml:space="preserve">załącznik nr 7 do swz </w:t>
      </w:r>
      <w:r>
        <w:rPr>
          <w:rFonts w:asciiTheme="minorHAnsi" w:hAnsiTheme="minorHAnsi"/>
          <w:sz w:val="22"/>
          <w:szCs w:val="22"/>
        </w:rPr>
        <w:t xml:space="preserve">oraz jest dostępny na portalu e-Usług </w:t>
      </w:r>
      <w:hyperlink r:id="rId11">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w zakładce e-learning.</w:t>
      </w:r>
    </w:p>
    <w:p>
      <w:pPr>
        <w:pStyle w:val="Normal"/>
        <w:numPr>
          <w:ilvl w:val="0"/>
          <w:numId w:val="5"/>
        </w:numPr>
        <w:jc w:val="both"/>
        <w:rPr/>
      </w:pPr>
      <w:r>
        <w:rPr>
          <w:rFonts w:eastAsia="Times New Roman" w:cs="Times New Roman" w:asciiTheme="minorHAnsi" w:hAnsiTheme="minorHAnsi"/>
          <w:sz w:val="22"/>
          <w:szCs w:val="22"/>
        </w:rPr>
        <w:t xml:space="preserve">Użycie przez Wykonawcę do kontaktu z Zamawiającym środków komunikacji elektronicznej zapewnionych                  na portalu </w:t>
      </w:r>
      <w:hyperlink r:id="rId12">
        <w:r>
          <w:rPr>
            <w:rStyle w:val="Czeinternetowe"/>
            <w:rFonts w:eastAsia="Times New Roman" w:cs="Arial" w:ascii="Calibri" w:hAnsi="Calibri"/>
            <w:sz w:val="22"/>
            <w:szCs w:val="22"/>
          </w:rPr>
          <w:t>Strona główna - Platforma Zakupowa</w:t>
        </w:r>
      </w:hyperlink>
      <w:r>
        <w:rPr>
          <w:rStyle w:val="Czeinternetowe"/>
          <w:rFonts w:eastAsia="Times New Roman" w:cs="Arial" w:ascii="Calibri" w:hAnsi="Calibri"/>
          <w:sz w:val="22"/>
          <w:szCs w:val="22"/>
        </w:rPr>
        <w:t xml:space="preserve"> </w:t>
      </w:r>
      <w:r>
        <w:rPr>
          <w:rFonts w:eastAsia="Times New Roman" w:cs="Times New Roman" w:asciiTheme="minorHAnsi" w:hAnsiTheme="minorHAnsi"/>
          <w:sz w:val="22"/>
          <w:szCs w:val="22"/>
        </w:rPr>
        <w:t xml:space="preserve"> jest uzależnione od uprzedniej akceptacji przez Wykonawcę regulaminu korzystania z portalu </w:t>
      </w:r>
      <w:hyperlink r:id="rId13">
        <w:r>
          <w:rPr>
            <w:rStyle w:val="Czeinternetowe"/>
            <w:rFonts w:eastAsia="Times New Roman" w:cs="Arial" w:ascii="Calibri" w:hAnsi="Calibri"/>
            <w:sz w:val="22"/>
            <w:szCs w:val="22"/>
          </w:rPr>
          <w:t>Strona główna - Platforma Zakupowa</w:t>
        </w:r>
      </w:hyperlink>
      <w:r>
        <w:rPr>
          <w:rStyle w:val="Czeinternetowe"/>
          <w:rFonts w:eastAsia="Times New Roman" w:cs="Arial" w:ascii="Calibri" w:hAnsi="Calibri"/>
          <w:sz w:val="22"/>
          <w:szCs w:val="22"/>
        </w:rPr>
        <w:t xml:space="preserve"> </w:t>
      </w:r>
      <w:r>
        <w:rPr>
          <w:rFonts w:eastAsia="Times New Roman" w:cs="Times New Roman" w:asciiTheme="minorHAnsi" w:hAnsiTheme="minorHAnsi"/>
          <w:sz w:val="22"/>
          <w:szCs w:val="22"/>
        </w:rPr>
        <w:t xml:space="preserve"> na witrynie internetowej przy zakładaniu profilu Wykonawcy. </w:t>
      </w:r>
    </w:p>
    <w:p>
      <w:pPr>
        <w:pStyle w:val="Standard"/>
        <w:numPr>
          <w:ilvl w:val="0"/>
          <w:numId w:val="5"/>
        </w:numPr>
        <w:jc w:val="both"/>
        <w:rPr/>
      </w:pPr>
      <w:r>
        <w:rPr>
          <w:rFonts w:asciiTheme="minorHAnsi" w:hAnsiTheme="minorHAnsi"/>
          <w:sz w:val="22"/>
          <w:szCs w:val="22"/>
        </w:rPr>
        <w:t xml:space="preserve">Za datę wpływu, przekazania oferty, oświadczenia, o którym mowa w art. 125 ust. 1 ustawy Pzp, podmiotowych środków dowodowych, przedmiotowych środków dowodowych oraz innych informacji, oświadczeń lub dokumentów, przekazywanych w postępowaniu, przyjmuje się datę zapisania plików na serwerze portalu </w:t>
      </w:r>
      <w:hyperlink r:id="rId14">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w:t>
      </w:r>
    </w:p>
    <w:p>
      <w:pPr>
        <w:pStyle w:val="Standard"/>
        <w:numPr>
          <w:ilvl w:val="0"/>
          <w:numId w:val="5"/>
        </w:numPr>
        <w:jc w:val="both"/>
        <w:rPr/>
      </w:pPr>
      <w:r>
        <w:rPr>
          <w:rFonts w:asciiTheme="minorHAnsi" w:hAnsiTheme="minorHAnsi"/>
          <w:sz w:val="22"/>
          <w:szCs w:val="22"/>
        </w:rPr>
        <w:t xml:space="preserve">Korzystanie z portalu </w:t>
      </w:r>
      <w:hyperlink r:id="rId15">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P przez Wykonawców jest bezpłatne. </w:t>
      </w:r>
    </w:p>
    <w:p>
      <w:pPr>
        <w:pStyle w:val="Standard"/>
        <w:numPr>
          <w:ilvl w:val="0"/>
          <w:numId w:val="5"/>
        </w:numPr>
        <w:jc w:val="both"/>
        <w:rPr/>
      </w:pPr>
      <w:r>
        <w:rPr>
          <w:rFonts w:asciiTheme="minorHAnsi" w:hAnsiTheme="minorHAnsi"/>
          <w:sz w:val="22"/>
          <w:szCs w:val="22"/>
        </w:rPr>
        <w:t xml:space="preserve">Wykonawcy przysługuje prawo korzystania z asysty obejmującej wsparcie techniczne w kwestiach dotyczących korzystania z portalu </w:t>
      </w:r>
      <w:hyperlink r:id="rId16">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polegające na doradztwie telefonicznym i e-mailowym na zasadach określonych w regulaminie korzystania z portalu </w:t>
      </w:r>
      <w:hyperlink r:id="rId17">
        <w:r>
          <w:rPr>
            <w:rStyle w:val="Czeinternetowe"/>
            <w:rFonts w:cs="Arial" w:ascii="Calibri" w:hAnsi="Calibri"/>
            <w:sz w:val="22"/>
            <w:szCs w:val="22"/>
          </w:rPr>
          <w:t>Strona główna - Platforma Zakupowa</w:t>
        </w:r>
      </w:hyperlink>
      <w:r>
        <w:rPr>
          <w:rFonts w:asciiTheme="minorHAnsi" w:hAnsiTheme="minorHAnsi"/>
          <w:sz w:val="22"/>
          <w:szCs w:val="22"/>
        </w:rPr>
        <w:t>.</w:t>
      </w:r>
    </w:p>
    <w:p>
      <w:pPr>
        <w:pStyle w:val="Standard"/>
        <w:numPr>
          <w:ilvl w:val="0"/>
          <w:numId w:val="5"/>
        </w:numPr>
        <w:jc w:val="both"/>
        <w:rPr/>
      </w:pPr>
      <w:r>
        <w:rPr>
          <w:rFonts w:asciiTheme="minorHAnsi" w:hAnsiTheme="minorHAnsi"/>
          <w:sz w:val="22"/>
          <w:szCs w:val="22"/>
        </w:rPr>
        <w:t xml:space="preserve">W sytuacji awarii portalu </w:t>
      </w:r>
      <w:hyperlink r:id="rId18">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lub przerwy technicznej działania portalu </w:t>
      </w:r>
      <w:hyperlink r:id="rId19">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Zamawiający dopuszcza komunikację za pomocą poczty elektronicznej na adres: </w:t>
      </w:r>
      <w:hyperlink r:id="rId20">
        <w:r>
          <w:rPr>
            <w:rStyle w:val="Czeinternetowe"/>
            <w:rFonts w:asciiTheme="minorHAnsi" w:hAnsiTheme="minorHAnsi"/>
            <w:b w:val="false"/>
            <w:i w:val="false"/>
            <w:caps w:val="false"/>
            <w:smallCaps w:val="false"/>
            <w:color w:val="333333"/>
            <w:spacing w:val="0"/>
            <w:sz w:val="22"/>
            <w:szCs w:val="22"/>
          </w:rPr>
          <w:t>wierzchowo@sw.gov.pl</w:t>
        </w:r>
      </w:hyperlink>
      <w:r>
        <w:rPr>
          <w:rFonts w:asciiTheme="minorHAnsi" w:hAnsiTheme="minorHAnsi"/>
          <w:b w:val="false"/>
          <w:i w:val="false"/>
          <w:caps w:val="false"/>
          <w:smallCaps w:val="false"/>
          <w:color w:val="333333"/>
          <w:spacing w:val="0"/>
          <w:sz w:val="22"/>
          <w:szCs w:val="22"/>
        </w:rPr>
        <w:t xml:space="preserve"> </w:t>
      </w:r>
      <w:r>
        <w:rPr>
          <w:rFonts w:asciiTheme="minorHAnsi" w:hAnsiTheme="minorHAnsi"/>
          <w:sz w:val="22"/>
          <w:szCs w:val="22"/>
        </w:rPr>
        <w:t xml:space="preserve"> (nie dotyczy oferty Wykonawcy i załączników do oferty).</w:t>
      </w:r>
    </w:p>
    <w:p>
      <w:pPr>
        <w:pStyle w:val="Standard"/>
        <w:numPr>
          <w:ilvl w:val="0"/>
          <w:numId w:val="5"/>
        </w:numPr>
        <w:jc w:val="both"/>
        <w:rPr/>
      </w:pPr>
      <w:r>
        <w:rPr>
          <w:rFonts w:asciiTheme="minorHAnsi" w:hAnsiTheme="minorHAnsi"/>
          <w:sz w:val="22"/>
          <w:szCs w:val="22"/>
        </w:rPr>
        <w:t xml:space="preserve">Maksymalny rozmiar pojedynczych plików przesyłanych za pośrednictwem portalu </w:t>
      </w:r>
      <w:hyperlink r:id="rId21">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wynosi 100 MB. Za pośrednictwem portalu </w:t>
      </w:r>
      <w:hyperlink r:id="rId22">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można przesłać wiele pojedynczych plików lub plik skompresowany do archiwum (ZIP) zawierający wiele pojedynczych plików.</w:t>
      </w:r>
    </w:p>
    <w:p>
      <w:pPr>
        <w:pStyle w:val="Normal"/>
        <w:numPr>
          <w:ilvl w:val="0"/>
          <w:numId w:val="5"/>
        </w:numPr>
        <w:jc w:val="both"/>
        <w:rPr/>
      </w:pPr>
      <w:r>
        <w:rPr>
          <w:rFonts w:eastAsia="Times New Roman" w:cs="Times New Roman" w:asciiTheme="minorHAnsi" w:hAnsiTheme="minorHAnsi"/>
          <w:sz w:val="22"/>
          <w:szCs w:val="22"/>
        </w:rPr>
        <w:t>Zamawiający dopuszcza następujące formaty przesyłanych danych tj. plików o wielkości do 100 MB                          wformatach .png, .jpg, .jpeg, .gif, .doc, .docx, .xls, .xlsx, .ppt, .pptx, .odt, .ods, .odp, .odf, .pdf, .zip, .rar, .7zip, .txt, .ath, .xml, .dwg, .xades, .tar, .7z, .eml, .msg.</w:t>
      </w:r>
    </w:p>
    <w:p>
      <w:pPr>
        <w:pStyle w:val="Standard"/>
        <w:numPr>
          <w:ilvl w:val="0"/>
          <w:numId w:val="5"/>
        </w:numPr>
        <w:jc w:val="both"/>
        <w:rPr/>
      </w:pPr>
      <w:r>
        <w:rPr>
          <w:rFonts w:asciiTheme="minorHAnsi" w:hAnsiTheme="minorHAnsi"/>
          <w:sz w:val="22"/>
          <w:szCs w:val="22"/>
        </w:rPr>
        <w:t>Informacje na temat kodowania i czasu odbioru danych:</w:t>
      </w:r>
    </w:p>
    <w:p>
      <w:pPr>
        <w:pStyle w:val="Standard"/>
        <w:numPr>
          <w:ilvl w:val="0"/>
          <w:numId w:val="32"/>
        </w:numPr>
        <w:jc w:val="both"/>
        <w:rPr/>
      </w:pPr>
      <w:r>
        <w:rPr>
          <w:rFonts w:asciiTheme="minorHAnsi" w:hAnsiTheme="minorHAnsi"/>
          <w:sz w:val="22"/>
          <w:szCs w:val="22"/>
        </w:rPr>
        <w:t xml:space="preserve">oferta złożona przez Wykonawcę na portalu </w:t>
      </w:r>
      <w:hyperlink r:id="rId23">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nie jest widoczna dla Zamawiającego, ponieważ widnieje w portalu </w:t>
      </w:r>
      <w:hyperlink r:id="rId24">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jako zaszyfrowana. Możliwość otwarcia oferty dostępna jest dopiero po odszyfrowaniu przez Zamawiającego po upływie terminu składania ofert;</w:t>
      </w:r>
    </w:p>
    <w:p>
      <w:pPr>
        <w:pStyle w:val="Standard"/>
        <w:numPr>
          <w:ilvl w:val="0"/>
          <w:numId w:val="32"/>
        </w:numPr>
        <w:jc w:val="both"/>
        <w:rPr/>
      </w:pPr>
      <w:r>
        <w:rPr>
          <w:rFonts w:asciiTheme="minorHAnsi" w:hAnsiTheme="minorHAnsi"/>
          <w:sz w:val="22"/>
          <w:szCs w:val="22"/>
        </w:rPr>
        <w:t>oznaczenie czasu odbioru danych przez</w:t>
      </w:r>
      <w:r>
        <w:rPr/>
        <w:t xml:space="preserve"> </w:t>
      </w:r>
      <w:r>
        <w:rPr>
          <w:rFonts w:asciiTheme="minorHAnsi" w:hAnsiTheme="minorHAnsi"/>
          <w:sz w:val="22"/>
          <w:szCs w:val="22"/>
        </w:rPr>
        <w:t xml:space="preserve">portal </w:t>
      </w:r>
      <w:hyperlink r:id="rId25">
        <w:r>
          <w:rPr>
            <w:rStyle w:val="Czeinternetowe"/>
            <w:rFonts w:cs="Arial" w:ascii="Calibri" w:hAnsi="Calibri"/>
            <w:sz w:val="22"/>
            <w:szCs w:val="22"/>
          </w:rPr>
          <w:t>Strona główna - Platforma Zakupowa</w:t>
        </w:r>
      </w:hyperlink>
      <w:r>
        <w:rPr>
          <w:rStyle w:val="Czeinternetowe"/>
          <w:rFonts w:cs="Arial" w:ascii="Calibri" w:hAnsi="Calibri"/>
          <w:sz w:val="22"/>
          <w:szCs w:val="22"/>
        </w:rPr>
        <w:t xml:space="preserve"> </w:t>
      </w:r>
      <w:r>
        <w:rPr>
          <w:rFonts w:asciiTheme="minorHAnsi" w:hAnsiTheme="minorHAnsi"/>
          <w:sz w:val="22"/>
          <w:szCs w:val="22"/>
        </w:rPr>
        <w:t xml:space="preserve"> stanowi przypiętą do dokumentu elektronicznego datę oraz dokładny czas (hh:mm:ss), znajdującą się na potwierdzeniu złożenia oferty.</w:t>
      </w:r>
    </w:p>
    <w:p>
      <w:pPr>
        <w:pStyle w:val="Standard"/>
        <w:numPr>
          <w:ilvl w:val="0"/>
          <w:numId w:val="5"/>
        </w:numPr>
        <w:jc w:val="both"/>
        <w:rPr/>
      </w:pPr>
      <w:r>
        <w:rPr>
          <w:rFonts w:asciiTheme="minorHAnsi" w:hAnsiTheme="minorHAnsi"/>
          <w:sz w:val="22"/>
          <w:szCs w:val="22"/>
        </w:rPr>
        <w:t>We wszelkiej korespondencji związanej z niniejszym postępowaniem Zamawiający i Wykonawcy posługują się numerem sprawy niniejszego postępowania.</w:t>
      </w:r>
    </w:p>
    <w:p>
      <w:pPr>
        <w:pStyle w:val="Standard"/>
        <w:numPr>
          <w:ilvl w:val="0"/>
          <w:numId w:val="5"/>
        </w:numPr>
        <w:jc w:val="both"/>
        <w:rPr/>
      </w:pPr>
      <w:r>
        <w:rPr>
          <w:rFonts w:asciiTheme="minorHAnsi" w:hAnsiTheme="minorHAnsi"/>
          <w:sz w:val="22"/>
          <w:szCs w:val="22"/>
        </w:rPr>
        <w:t>Zamawiający może również komunikować się z Wykonawcami za pomocą poczty elektronicznej.</w:t>
      </w:r>
    </w:p>
    <w:p>
      <w:pPr>
        <w:pStyle w:val="Standard"/>
        <w:numPr>
          <w:ilvl w:val="0"/>
          <w:numId w:val="5"/>
        </w:numPr>
        <w:jc w:val="both"/>
        <w:rPr/>
      </w:pPr>
      <w:r>
        <w:rPr>
          <w:rFonts w:asciiTheme="minorHAnsi" w:hAnsiTheme="minorHAnsi"/>
          <w:sz w:val="22"/>
          <w:szCs w:val="22"/>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2452z poź. zm.) oraz rozporządzeniu Ministra Rozwoju, Pracy i Technologii z dnia 23 grudnia 2020 r. w sprawie podmiotowych środków dowodowych oraz innych dokumentów lub oświadczeń, jakich może żądać zamawiający od wykonawcy (Dz.U. z 2020 r., 2415 z poź. zm.).</w:t>
      </w:r>
    </w:p>
    <w:p>
      <w:pPr>
        <w:pStyle w:val="Standard"/>
        <w:jc w:val="both"/>
        <w:rPr/>
      </w:pPr>
      <w:r>
        <w:rPr/>
      </w:r>
    </w:p>
    <w:p>
      <w:pPr>
        <w:pStyle w:val="Standard"/>
        <w:jc w:val="both"/>
        <w:rPr/>
      </w:pPr>
      <w:r>
        <w:rPr>
          <w:rFonts w:ascii="Calibri" w:hAnsi="Calibri"/>
          <w:b/>
          <w:bCs/>
          <w:i/>
          <w:iCs/>
          <w:sz w:val="22"/>
          <w:szCs w:val="22"/>
          <w:u w:val="single"/>
        </w:rPr>
        <w:t>ROZDZIAŁ 9:</w:t>
      </w:r>
      <w:r>
        <w:rPr>
          <w:rFonts w:ascii="Calibri" w:hAnsi="Calibri"/>
          <w:b/>
          <w:bCs/>
          <w:sz w:val="22"/>
          <w:szCs w:val="22"/>
          <w:u w:val="single"/>
        </w:rPr>
        <w:t xml:space="preserve"> INFORMACJE O SPOSOBIE KOMUNIKOWANIA SIĘ ZAMAWIAJĄCEGO Z WYKONAWCAMI W INNY SPOSÓB NIŻ PRZY UŻYCIU ŚRODKÓW KOMUNIKACJI ELEKTRONICZNEJ W PRZYPADKU ZAISTNIENIA JEDNEJ                 Z SYTUACJI OKREŚLONYCH W ART. 65 UST. 1, ART. 66 i ART. 69</w:t>
      </w:r>
    </w:p>
    <w:p>
      <w:pPr>
        <w:pStyle w:val="Standard"/>
        <w:ind w:left="708" w:hanging="0"/>
        <w:jc w:val="both"/>
        <w:rPr/>
      </w:pPr>
      <w:r>
        <w:rPr>
          <w:rFonts w:asciiTheme="minorHAnsi" w:hAnsiTheme="minorHAnsi"/>
          <w:sz w:val="22"/>
          <w:szCs w:val="22"/>
        </w:rPr>
        <w:t>Zamawiający nie przewiduje sposobu komunikowania się z Wykonawcami w inny sposób niż przy użyciu środków komunikacji elektronicznej, wskazanych w swz.</w:t>
      </w:r>
    </w:p>
    <w:p>
      <w:pPr>
        <w:pStyle w:val="Standard"/>
        <w:jc w:val="both"/>
        <w:rPr/>
      </w:pPr>
      <w:r>
        <w:rPr/>
      </w:r>
    </w:p>
    <w:p>
      <w:pPr>
        <w:pStyle w:val="Standard"/>
        <w:jc w:val="both"/>
        <w:rPr/>
      </w:pPr>
      <w:r>
        <w:rPr>
          <w:rFonts w:ascii="Calibri" w:hAnsi="Calibri"/>
          <w:b/>
          <w:bCs/>
          <w:i/>
          <w:iCs/>
          <w:sz w:val="22"/>
          <w:szCs w:val="22"/>
          <w:u w:val="single"/>
        </w:rPr>
        <w:t xml:space="preserve">ROZDZIAŁ 10: </w:t>
      </w:r>
      <w:r>
        <w:rPr>
          <w:rFonts w:ascii="Calibri" w:hAnsi="Calibri"/>
          <w:b/>
          <w:bCs/>
          <w:iCs/>
          <w:sz w:val="22"/>
          <w:szCs w:val="22"/>
          <w:u w:val="single"/>
        </w:rPr>
        <w:t>WSKAZANIE OSÓB UPRAWNIONYCH DO KOMUNIKOWANIA SIĘ Z WYKONAWCAMI</w:t>
      </w:r>
      <w:r>
        <w:rPr>
          <w:rFonts w:ascii="Calibri" w:hAnsi="Calibri"/>
          <w:b/>
          <w:bCs/>
          <w:sz w:val="22"/>
          <w:szCs w:val="22"/>
          <w:u w:val="single"/>
        </w:rPr>
        <w:t xml:space="preserve"> </w:t>
      </w:r>
    </w:p>
    <w:p>
      <w:pPr>
        <w:pStyle w:val="Standard"/>
        <w:jc w:val="both"/>
        <w:rPr/>
      </w:pPr>
      <w:r>
        <w:rPr>
          <w:rFonts w:ascii="Calibri" w:hAnsi="Calibri"/>
          <w:sz w:val="22"/>
          <w:szCs w:val="22"/>
        </w:rPr>
        <w:tab/>
        <w:t>Osobami uprawnionymi do komunikowania się z Wykonawcami są:</w:t>
      </w:r>
    </w:p>
    <w:p>
      <w:pPr>
        <w:pStyle w:val="Standard"/>
        <w:numPr>
          <w:ilvl w:val="0"/>
          <w:numId w:val="18"/>
        </w:numPr>
        <w:jc w:val="both"/>
        <w:rPr/>
      </w:pPr>
      <w:r>
        <w:rPr>
          <w:rFonts w:ascii="Calibri" w:hAnsi="Calibri"/>
          <w:sz w:val="22"/>
          <w:szCs w:val="22"/>
        </w:rPr>
        <w:t>Damian Godlewski – w sprawach formalnych postępowania,</w:t>
      </w:r>
      <w:r>
        <w:rPr>
          <w:rFonts w:eastAsia="Arial" w:cs="Arial" w:ascii="Calibri" w:hAnsi="Calibri"/>
          <w:color w:val="000000"/>
          <w:sz w:val="22"/>
          <w:szCs w:val="22"/>
        </w:rPr>
        <w:t xml:space="preserve"> e-mail: </w:t>
      </w:r>
      <w:hyperlink r:id="rId26">
        <w:r>
          <w:rPr>
            <w:rStyle w:val="Czeinternetowe"/>
            <w:rFonts w:eastAsia="Arial" w:cs="Arial" w:ascii="Calibri" w:hAnsi="Calibri"/>
            <w:color w:val="000000"/>
            <w:sz w:val="22"/>
            <w:szCs w:val="22"/>
          </w:rPr>
          <w:t>damian.godlewski@sw.gov.pl</w:t>
        </w:r>
      </w:hyperlink>
    </w:p>
    <w:p>
      <w:pPr>
        <w:pStyle w:val="Standard"/>
        <w:numPr>
          <w:ilvl w:val="0"/>
          <w:numId w:val="0"/>
        </w:numPr>
        <w:ind w:left="1776" w:hanging="0"/>
        <w:jc w:val="both"/>
        <w:rPr/>
      </w:pPr>
      <w:bookmarkStart w:id="3" w:name="__DdeLink__1304_2962324826"/>
      <w:r>
        <w:rPr>
          <w:rFonts w:eastAsia="Arial" w:cs="Arial" w:ascii="Calibri" w:hAnsi="Calibri"/>
          <w:color w:val="000000"/>
          <w:sz w:val="22"/>
          <w:szCs w:val="22"/>
        </w:rPr>
        <w:t>; tel.: 094-34-00-752;</w:t>
      </w:r>
      <w:bookmarkEnd w:id="3"/>
    </w:p>
    <w:p>
      <w:pPr>
        <w:pStyle w:val="Standard"/>
        <w:numPr>
          <w:ilvl w:val="0"/>
          <w:numId w:val="18"/>
        </w:numPr>
        <w:jc w:val="both"/>
        <w:rPr/>
      </w:pPr>
      <w:r>
        <w:rPr>
          <w:rFonts w:ascii="Calibri" w:hAnsi="Calibri"/>
          <w:sz w:val="22"/>
          <w:szCs w:val="22"/>
        </w:rPr>
        <w:t>Damian Godlewski – w sprawach formalnych postępowania,</w:t>
      </w:r>
      <w:r>
        <w:rPr>
          <w:rFonts w:eastAsia="Arial" w:cs="Arial" w:ascii="Calibri" w:hAnsi="Calibri"/>
          <w:color w:val="000000"/>
          <w:sz w:val="22"/>
          <w:szCs w:val="22"/>
        </w:rPr>
        <w:t xml:space="preserve"> e-mail: </w:t>
      </w:r>
      <w:hyperlink r:id="rId27">
        <w:r>
          <w:rPr>
            <w:rStyle w:val="Czeinternetowe"/>
            <w:rFonts w:eastAsia="Arial" w:cs="Arial" w:ascii="Calibri" w:hAnsi="Calibri"/>
            <w:color w:val="000000"/>
            <w:sz w:val="22"/>
            <w:szCs w:val="22"/>
          </w:rPr>
          <w:t>damian.godlewski@sw.gov.pl</w:t>
        </w:r>
      </w:hyperlink>
    </w:p>
    <w:p>
      <w:pPr>
        <w:pStyle w:val="Standard"/>
        <w:numPr>
          <w:ilvl w:val="0"/>
          <w:numId w:val="0"/>
        </w:numPr>
        <w:ind w:left="1776" w:hanging="0"/>
        <w:jc w:val="both"/>
        <w:rPr/>
      </w:pPr>
      <w:r>
        <w:rPr>
          <w:rFonts w:eastAsia="Arial" w:cs="Arial" w:ascii="Calibri" w:hAnsi="Calibri"/>
          <w:color w:val="000000"/>
          <w:sz w:val="22"/>
          <w:szCs w:val="22"/>
        </w:rPr>
        <w:t>; tel.: 094-34-00-752;</w:t>
      </w:r>
    </w:p>
    <w:p>
      <w:pPr>
        <w:pStyle w:val="Standard"/>
        <w:ind w:left="1776" w:hanging="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11:</w:t>
      </w:r>
      <w:r>
        <w:rPr>
          <w:rFonts w:ascii="Calibri" w:hAnsi="Calibri"/>
          <w:b/>
          <w:bCs/>
          <w:sz w:val="22"/>
          <w:szCs w:val="22"/>
          <w:u w:val="single"/>
        </w:rPr>
        <w:t xml:space="preserve"> TERMIN ZWIĄZANIA OFERTĄ</w:t>
      </w:r>
    </w:p>
    <w:p>
      <w:pPr>
        <w:pStyle w:val="Standard"/>
        <w:numPr>
          <w:ilvl w:val="0"/>
          <w:numId w:val="30"/>
        </w:numPr>
        <w:jc w:val="both"/>
        <w:rPr/>
      </w:pPr>
      <w:r>
        <w:rPr>
          <w:rFonts w:ascii="Calibri" w:hAnsi="Calibri"/>
          <w:sz w:val="22"/>
          <w:szCs w:val="22"/>
        </w:rPr>
        <w:t>Wykonawca jest związany ofertą do upływu terminu składania ofert, jednak nie dłużej niż 30 dni, od dnia upływu terminu składania ofert.</w:t>
      </w:r>
    </w:p>
    <w:p>
      <w:pPr>
        <w:pStyle w:val="Standard"/>
        <w:numPr>
          <w:ilvl w:val="0"/>
          <w:numId w:val="30"/>
        </w:numPr>
        <w:jc w:val="both"/>
        <w:rPr/>
      </w:pPr>
      <w:r>
        <w:rPr>
          <w:rFonts w:ascii="Calibri" w:hAnsi="Calibri"/>
          <w:sz w:val="22"/>
          <w:szCs w:val="22"/>
        </w:rPr>
        <w:t>Przepisy art. 307 ustawy Pzp stosuje się odpowiednio.</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12:</w:t>
      </w:r>
      <w:r>
        <w:rPr>
          <w:rFonts w:ascii="Calibri" w:hAnsi="Calibri"/>
          <w:b/>
          <w:bCs/>
          <w:sz w:val="22"/>
          <w:szCs w:val="22"/>
          <w:u w:val="single"/>
        </w:rPr>
        <w:t xml:space="preserve"> OPIS SPOSOBU PRZYGOTOWANIA OFERTY</w:t>
      </w:r>
    </w:p>
    <w:p>
      <w:pPr>
        <w:pStyle w:val="Standard"/>
        <w:numPr>
          <w:ilvl w:val="0"/>
          <w:numId w:val="6"/>
        </w:numPr>
        <w:jc w:val="both"/>
        <w:rPr/>
      </w:pPr>
      <w:r>
        <w:rPr>
          <w:rFonts w:eastAsia="Arial" w:cs="Arial" w:ascii="Calibri" w:hAnsi="Calibri"/>
          <w:sz w:val="22"/>
          <w:szCs w:val="22"/>
        </w:rPr>
        <w:t>W postępowaniu o udzielenie zamówienia ofertę oraz oświadczenia Wykonawca składa się w języku polskim, trwałą techniką pisarską pod rygorem nieważności, w formie elektronicznej lub w postaci elektronicznej opatrzonej kwalifikowanym podpisem elektronicznym, podpisem zaufanym lub podpisem osobistym.</w:t>
      </w:r>
    </w:p>
    <w:p>
      <w:pPr>
        <w:pStyle w:val="Standard"/>
        <w:numPr>
          <w:ilvl w:val="0"/>
          <w:numId w:val="6"/>
        </w:numPr>
        <w:jc w:val="both"/>
        <w:rPr/>
      </w:pPr>
      <w:r>
        <w:rPr>
          <w:rFonts w:eastAsia="Arial" w:cs="Arial" w:ascii="Calibri" w:hAnsi="Calibri"/>
          <w:sz w:val="22"/>
          <w:szCs w:val="22"/>
        </w:rPr>
        <w:t xml:space="preserve">Portal </w:t>
      </w:r>
      <w:hyperlink r:id="rId28">
        <w:r>
          <w:rPr>
            <w:rStyle w:val="Czeinternetowe"/>
            <w:rFonts w:eastAsia="Arial" w:cs="Arial" w:ascii="Calibri" w:hAnsi="Calibri"/>
            <w:sz w:val="22"/>
            <w:szCs w:val="22"/>
          </w:rPr>
          <w:t>Strona główna - Platforma Zakupowa</w:t>
        </w:r>
      </w:hyperlink>
      <w:r>
        <w:rPr>
          <w:rStyle w:val="Czeinternetowe"/>
          <w:rFonts w:eastAsia="Arial" w:cs="Arial" w:ascii="Calibri" w:hAnsi="Calibri"/>
          <w:sz w:val="22"/>
          <w:szCs w:val="22"/>
        </w:rPr>
        <w:t xml:space="preserve"> </w:t>
      </w:r>
      <w:r>
        <w:rPr>
          <w:rFonts w:eastAsia="Arial" w:cs="Arial" w:ascii="Calibri" w:hAnsi="Calibri"/>
          <w:sz w:val="22"/>
          <w:szCs w:val="22"/>
        </w:rPr>
        <w:t xml:space="preserve"> jest kompatybilny ze wszystkimi podpisami elektronicznymi. Do przesłania dokumentów niezbędne jest posiadanie kwalifikowanego podpisu elektronicznego lub podpisu zaufanego lub podpisu osobistego w celu potwierdzenia czynności złożenia oferty. </w:t>
      </w:r>
    </w:p>
    <w:p>
      <w:pPr>
        <w:pStyle w:val="Standard"/>
        <w:numPr>
          <w:ilvl w:val="0"/>
          <w:numId w:val="6"/>
        </w:numPr>
        <w:jc w:val="both"/>
        <w:rPr/>
      </w:pPr>
      <w:r>
        <w:rPr>
          <w:rFonts w:eastAsia="Arial" w:cs="Arial" w:ascii="Calibri" w:hAnsi="Calibri"/>
          <w:sz w:val="22"/>
          <w:szCs w:val="22"/>
        </w:rPr>
        <w:t>Szczegółowe informacje o sposobie pozyskania usługi:</w:t>
        <w:tab/>
      </w:r>
    </w:p>
    <w:p>
      <w:pPr>
        <w:pStyle w:val="Standard"/>
        <w:numPr>
          <w:ilvl w:val="0"/>
          <w:numId w:val="33"/>
        </w:numPr>
        <w:jc w:val="both"/>
        <w:rPr/>
      </w:pPr>
      <w:r>
        <w:rPr>
          <w:rFonts w:eastAsia="Arial" w:cs="Arial" w:ascii="Calibri" w:hAnsi="Calibri"/>
          <w:sz w:val="22"/>
          <w:szCs w:val="22"/>
        </w:rPr>
        <w:t>kwalifikowanego podpisu elektronicznego oraz warunkach jej użycia można znaleźć na stronach internetowych kwalifikowanych dostawców usług zaufania, których lista znajduje się pod adresem internetowym: http://www.nccert.pl/kontakt.htm;</w:t>
      </w:r>
    </w:p>
    <w:p>
      <w:pPr>
        <w:pStyle w:val="Standard"/>
        <w:numPr>
          <w:ilvl w:val="0"/>
          <w:numId w:val="33"/>
        </w:numPr>
        <w:jc w:val="both"/>
        <w:rPr/>
      </w:pPr>
      <w:r>
        <w:rPr>
          <w:rFonts w:eastAsia="Arial" w:cs="Arial" w:ascii="Calibri" w:hAnsi="Calibri"/>
          <w:sz w:val="22"/>
          <w:szCs w:val="22"/>
        </w:rPr>
        <w:t>profilu zaufanego można znaleźć pod adresem internetowym: https://www.gov.pl/web/gov/zaloz-profil-zaufany;</w:t>
      </w:r>
    </w:p>
    <w:p>
      <w:pPr>
        <w:pStyle w:val="Standard"/>
        <w:numPr>
          <w:ilvl w:val="0"/>
          <w:numId w:val="33"/>
        </w:numPr>
        <w:jc w:val="both"/>
        <w:rPr/>
      </w:pPr>
      <w:r>
        <w:rPr>
          <w:rFonts w:eastAsia="Arial" w:cs="Arial" w:ascii="Calibri" w:hAnsi="Calibri"/>
          <w:sz w:val="22"/>
          <w:szCs w:val="22"/>
        </w:rPr>
        <w:t>podpisu osobistego można znaleźć pod adresem internetowym: https://www.gov.pl/web/e-dowod/podpis-osobisty.</w:t>
      </w:r>
    </w:p>
    <w:p>
      <w:pPr>
        <w:pStyle w:val="Standard"/>
        <w:numPr>
          <w:ilvl w:val="0"/>
          <w:numId w:val="6"/>
        </w:numPr>
        <w:jc w:val="both"/>
        <w:rPr/>
      </w:pPr>
      <w:r>
        <w:rPr>
          <w:rFonts w:eastAsia="Arial" w:cs="Arial" w:ascii="Calibri" w:hAnsi="Calibri"/>
          <w:sz w:val="22"/>
          <w:szCs w:val="22"/>
        </w:rPr>
        <w:t>Ofertę należy sporządzić w formacie danych, o których mowa w rozdziale 8 ust. 12 swz.</w:t>
      </w:r>
    </w:p>
    <w:p>
      <w:pPr>
        <w:pStyle w:val="Standard"/>
        <w:numPr>
          <w:ilvl w:val="0"/>
          <w:numId w:val="6"/>
        </w:numPr>
        <w:jc w:val="both"/>
        <w:rPr/>
      </w:pPr>
      <w:r>
        <w:rPr>
          <w:rFonts w:eastAsia="Arial" w:cs="Arial" w:ascii="Calibri" w:hAnsi="Calibri"/>
          <w:sz w:val="22"/>
          <w:szCs w:val="22"/>
        </w:rPr>
        <w:t>Wykonawca w prowadzonym postępowaniu może złożyć wyłącznie jedną ofertę.</w:t>
      </w:r>
    </w:p>
    <w:p>
      <w:pPr>
        <w:pStyle w:val="Standard"/>
        <w:numPr>
          <w:ilvl w:val="0"/>
          <w:numId w:val="6"/>
        </w:numPr>
        <w:jc w:val="both"/>
        <w:rPr/>
      </w:pPr>
      <w:r>
        <w:rPr>
          <w:rFonts w:eastAsia="Arial" w:cs="Arial" w:ascii="Calibri" w:hAnsi="Calibri"/>
          <w:sz w:val="22"/>
          <w:szCs w:val="22"/>
        </w:rPr>
        <w:t>Treść oferty musi odpowiadać treści swz.</w:t>
      </w:r>
    </w:p>
    <w:p>
      <w:pPr>
        <w:pStyle w:val="Standard"/>
        <w:numPr>
          <w:ilvl w:val="0"/>
          <w:numId w:val="6"/>
        </w:numPr>
        <w:jc w:val="both"/>
        <w:rPr/>
      </w:pPr>
      <w:r>
        <w:rPr>
          <w:rFonts w:eastAsia="Arial" w:cs="Arial" w:ascii="Calibri" w:hAnsi="Calibri"/>
          <w:sz w:val="22"/>
          <w:szCs w:val="22"/>
        </w:rPr>
        <w:t>Wszelkie koszty związane z przygotowaniem oferty ponosi składający ofertę.</w:t>
      </w:r>
    </w:p>
    <w:p>
      <w:pPr>
        <w:pStyle w:val="Standard"/>
        <w:numPr>
          <w:ilvl w:val="0"/>
          <w:numId w:val="6"/>
        </w:numPr>
        <w:jc w:val="both"/>
        <w:rPr/>
      </w:pPr>
      <w:r>
        <w:rPr>
          <w:rFonts w:eastAsia="Arial" w:cs="Arial" w:ascii="Calibri" w:hAnsi="Calibri"/>
          <w:sz w:val="22"/>
          <w:szCs w:val="22"/>
        </w:rPr>
        <w:t xml:space="preserve">Do przygotowania oferty zaleca się wykorzystanie formularza ofertowego, którego wzór stanowi </w:t>
      </w:r>
      <w:r>
        <w:rPr>
          <w:rFonts w:eastAsia="Arial" w:cs="Arial" w:ascii="Calibri" w:hAnsi="Calibri"/>
          <w:b/>
          <w:sz w:val="22"/>
          <w:szCs w:val="22"/>
        </w:rPr>
        <w:t>załącznik nr 2     do swz.</w:t>
      </w:r>
    </w:p>
    <w:p>
      <w:pPr>
        <w:pStyle w:val="Normal"/>
        <w:numPr>
          <w:ilvl w:val="0"/>
          <w:numId w:val="6"/>
        </w:numPr>
        <w:jc w:val="both"/>
        <w:rPr/>
      </w:pPr>
      <w:r>
        <w:rPr>
          <w:rFonts w:eastAsia="Arial" w:cs="Arial" w:ascii="Calibri" w:hAnsi="Calibri"/>
          <w:sz w:val="22"/>
          <w:szCs w:val="22"/>
        </w:rPr>
        <w:t xml:space="preserve">Zamawiający żąda, aby Wykonawca wskazał części zamówienia, których wykonanie powierzy podwykonawcom. Stosowną informację na ten temat Wykonawca zawrze w formularzu ofertowym, który stanowi </w:t>
      </w:r>
      <w:r>
        <w:rPr>
          <w:rFonts w:eastAsia="Arial" w:cs="Arial" w:ascii="Calibri" w:hAnsi="Calibri"/>
          <w:b/>
          <w:sz w:val="22"/>
          <w:szCs w:val="22"/>
        </w:rPr>
        <w:t>załącznik nr 2 do swz.</w:t>
      </w:r>
    </w:p>
    <w:p>
      <w:pPr>
        <w:pStyle w:val="Normal"/>
        <w:numPr>
          <w:ilvl w:val="0"/>
          <w:numId w:val="6"/>
        </w:numPr>
        <w:jc w:val="both"/>
        <w:rPr/>
      </w:pPr>
      <w:r>
        <w:rPr>
          <w:rFonts w:eastAsia="Arial" w:cs="Arial" w:ascii="Calibri" w:hAnsi="Calibri"/>
          <w:sz w:val="22"/>
          <w:szCs w:val="22"/>
        </w:rPr>
        <w:t xml:space="preserve">Dokumenty powinny być sporządzone zgodnie z zaleceniami oraz przedstawionymi przez Zamawiającego wzorcami dokumentów (załącznikami do swz), a w szczególności zawierać wszystkie informacje oraz dane. Dołączone do niniejszej swz załączniki stanowią jedynie wzorce formularzy, dokumentów dołączanych przez Wykonawcę do składanej oferty. </w:t>
      </w:r>
    </w:p>
    <w:p>
      <w:pPr>
        <w:pStyle w:val="Normal"/>
        <w:numPr>
          <w:ilvl w:val="0"/>
          <w:numId w:val="6"/>
        </w:numPr>
        <w:jc w:val="both"/>
        <w:rPr/>
      </w:pPr>
      <w:r>
        <w:rPr>
          <w:rFonts w:eastAsia="Arial" w:cs="Arial" w:ascii="Calibri" w:hAnsi="Calibri"/>
          <w:sz w:val="22"/>
          <w:szCs w:val="22"/>
        </w:rPr>
        <w:t>Wykonawca może nie skorzystać z niniejszych załączników, jednakże dokumenty zastępujące te załączniki dołączone do oferty muszą posiadać wszystkie dane określone w tych załącznikach.</w:t>
      </w:r>
    </w:p>
    <w:p>
      <w:pPr>
        <w:pStyle w:val="Standard"/>
        <w:numPr>
          <w:ilvl w:val="0"/>
          <w:numId w:val="6"/>
        </w:numPr>
        <w:jc w:val="both"/>
        <w:rPr/>
      </w:pPr>
      <w:r>
        <w:rPr>
          <w:rFonts w:eastAsia="Arial" w:cs="Arial" w:ascii="Calibri" w:hAnsi="Calibri"/>
          <w:sz w:val="22"/>
          <w:szCs w:val="22"/>
        </w:rPr>
        <w:t>W przypadku, gdy Wykonawca nie skorzysta z przygotowanych przez Zamawiającego wzorów dokumentów,                   w treści oferty należy zamieścić wszystkie wymagane informacje określone we wzorach dokumentów.</w:t>
      </w:r>
    </w:p>
    <w:p>
      <w:pPr>
        <w:pStyle w:val="Standard"/>
        <w:numPr>
          <w:ilvl w:val="0"/>
          <w:numId w:val="6"/>
        </w:numPr>
        <w:jc w:val="both"/>
        <w:rPr/>
      </w:pPr>
      <w:r>
        <w:rPr>
          <w:rFonts w:eastAsia="Arial" w:cs="Arial" w:ascii="Calibri" w:hAnsi="Calibri"/>
          <w:sz w:val="22"/>
          <w:szCs w:val="22"/>
        </w:rPr>
        <w:t xml:space="preserve">Do oferty należy dołączyć oświadczenia, o których mowa w </w:t>
      </w:r>
      <w:bookmarkStart w:id="4" w:name="__DdeLink__689_1827325079"/>
      <w:r>
        <w:rPr>
          <w:rFonts w:eastAsia="Arial" w:cs="Arial" w:ascii="Calibri" w:hAnsi="Calibri"/>
          <w:sz w:val="22"/>
          <w:szCs w:val="22"/>
        </w:rPr>
        <w:t>art. 125 ust. 1 ustawy Pzp</w:t>
      </w:r>
      <w:bookmarkEnd w:id="4"/>
      <w:r>
        <w:rPr>
          <w:rFonts w:eastAsia="Arial" w:cs="Arial" w:ascii="Calibri" w:hAnsi="Calibri"/>
          <w:sz w:val="22"/>
          <w:szCs w:val="22"/>
        </w:rPr>
        <w:t xml:space="preserve"> opatrzone kwalifikowanym podpisem elektronicznym, podpisem zaufanym lub podpisem osobistym, a następnie zaszyfrować wraz z plikami stanowiącymi ofertę, wzór oświadczeń stanowią </w:t>
      </w:r>
      <w:r>
        <w:rPr>
          <w:rFonts w:eastAsia="Arial" w:cs="Arial" w:ascii="Calibri" w:hAnsi="Calibri"/>
          <w:b/>
          <w:sz w:val="22"/>
          <w:szCs w:val="22"/>
        </w:rPr>
        <w:t>załączniki nr 3 i 4 do swz.</w:t>
      </w:r>
      <w:r>
        <w:rPr/>
        <w:t xml:space="preserve"> </w:t>
      </w:r>
      <w:r>
        <w:rPr>
          <w:rFonts w:eastAsia="Arial" w:cs="Arial" w:ascii="Calibri" w:hAnsi="Calibri"/>
          <w:sz w:val="22"/>
          <w:szCs w:val="22"/>
        </w:rPr>
        <w:t>Informacje zawarte w oświadczeniach stanowią dowód potwierdzający, że wobec Wykonawcy jest brak podstaw wykluczenia oraz Wykonawca spełnia warunki udziału w postępowaniu.</w:t>
      </w:r>
    </w:p>
    <w:p>
      <w:pPr>
        <w:pStyle w:val="Standard"/>
        <w:numPr>
          <w:ilvl w:val="0"/>
          <w:numId w:val="6"/>
        </w:numPr>
        <w:jc w:val="both"/>
        <w:rPr/>
      </w:pPr>
      <w:r>
        <w:rPr>
          <w:rFonts w:eastAsia="Arial" w:cs="Arial" w:ascii="Calibri" w:hAnsi="Calibri"/>
          <w:sz w:val="22"/>
          <w:szCs w:val="22"/>
        </w:rPr>
        <w:t>Jeżeli oferta i załączniki zostanie podpisana przez upoważnionego przedstawiciela Wykonawcy należy dołączyć właściwe umocowanie prawne.</w:t>
      </w:r>
    </w:p>
    <w:p>
      <w:pPr>
        <w:pStyle w:val="Normal"/>
        <w:numPr>
          <w:ilvl w:val="0"/>
          <w:numId w:val="6"/>
        </w:numPr>
        <w:jc w:val="both"/>
        <w:rPr/>
      </w:pPr>
      <w:r>
        <w:rPr>
          <w:rFonts w:eastAsia="Arial" w:cs="Arial" w:ascii="Calibri" w:hAnsi="Calibri"/>
          <w:sz w:val="22"/>
          <w:szCs w:val="22"/>
        </w:rPr>
        <w:t>Koszty związane z przygotowaniem oferty ponosi Wykonawca składający ofertę, z zastrzeżeniem art. 261 ustawy Pzp.</w:t>
      </w:r>
    </w:p>
    <w:p>
      <w:pPr>
        <w:pStyle w:val="Standard"/>
        <w:numPr>
          <w:ilvl w:val="0"/>
          <w:numId w:val="6"/>
        </w:numPr>
        <w:jc w:val="both"/>
        <w:rPr/>
      </w:pPr>
      <w:r>
        <w:rPr>
          <w:rFonts w:eastAsia="Arial" w:cs="Arial" w:ascii="Calibri" w:hAnsi="Calibri"/>
          <w:sz w:val="22"/>
          <w:szCs w:val="22"/>
        </w:rPr>
        <w:t>Oferta ma zawierać wszystkie wymagane dokumenty, oświadczenia i załączniki, o których mowa                        w treści niniejszej specyfikacji warunków zamówienia.</w:t>
      </w:r>
    </w:p>
    <w:p>
      <w:pPr>
        <w:pStyle w:val="Standard"/>
        <w:numPr>
          <w:ilvl w:val="0"/>
          <w:numId w:val="6"/>
        </w:numPr>
        <w:jc w:val="both"/>
        <w:rPr/>
      </w:pPr>
      <w:r>
        <w:rPr>
          <w:rFonts w:eastAsia="Arial" w:cs="Arial" w:ascii="Calibri" w:hAnsi="Calibri"/>
          <w:sz w:val="22"/>
          <w:szCs w:val="22"/>
        </w:rPr>
        <w:t>Wskazane jest, aby wszystkie strony oferty były ponumerowane w sposób pozwalający na określenie kolejnej strony oraz ilości stron oferty, tj. jeżeli oferta składa się np.: z 30 stron, to numeracja powinna być przeprowadzona w następujący sposób: 1/30; 2/30; 3/30 itd.</w:t>
      </w:r>
    </w:p>
    <w:p>
      <w:pPr>
        <w:pStyle w:val="Standard"/>
        <w:numPr>
          <w:ilvl w:val="0"/>
          <w:numId w:val="6"/>
        </w:numPr>
        <w:jc w:val="both"/>
        <w:rPr/>
      </w:pPr>
      <w:r>
        <w:rPr>
          <w:rFonts w:eastAsia="Arial" w:cs="Arial" w:ascii="Calibri" w:hAnsi="Calibri"/>
          <w:sz w:val="22"/>
          <w:szCs w:val="22"/>
        </w:rPr>
        <w:t>Jeżeli Wykonawca korzysta z załączników dołączonych do niniejszej swz, to może skreślić lub wymazać numerację stron nadaną przez Zamawiającego tym załącznikom.</w:t>
      </w:r>
    </w:p>
    <w:p>
      <w:pPr>
        <w:pStyle w:val="ListParagraph"/>
        <w:numPr>
          <w:ilvl w:val="0"/>
          <w:numId w:val="6"/>
        </w:numPr>
        <w:jc w:val="both"/>
        <w:rPr/>
      </w:pPr>
      <w:r>
        <w:rPr>
          <w:rFonts w:ascii="Calibri" w:hAnsi="Calibri"/>
          <w:sz w:val="22"/>
          <w:szCs w:val="22"/>
        </w:rPr>
        <w:t>Wykonawca może zastrzec w ofercie informacje, które stanowią tajemnicę przedsiębiorstwa w rozumieniu przepisów ustawy z dnia 16 kwietnia 1993 r. o zwalczaniu nieuczciwej konkurencji (t.j. Dz. U. z 2022r. poz. 1233). Wszelkie informacje stanowiące tajemnicę przedsiębiorstwa w rozumieniu przepisów ustawy o zwalczaniu nieuczciwej konkurencji, które Wykonawca zastrzeże jako tajemnicę przedsiębiorstwa powinny zostać złożone w osobnym pliku z zaznaczeniem, o treści następującej: „Załącznik stanowiący tajemnicę przedsiębiorstwa”, a następnie wraz z plikami stanowiącymi jawną część należy ten plik zaszyfrować.</w:t>
      </w:r>
    </w:p>
    <w:p>
      <w:pPr>
        <w:pStyle w:val="ListParagraph"/>
        <w:numPr>
          <w:ilvl w:val="0"/>
          <w:numId w:val="6"/>
        </w:numPr>
        <w:jc w:val="both"/>
        <w:rPr/>
      </w:pPr>
      <w:r>
        <w:rPr>
          <w:rFonts w:ascii="Calibri" w:hAnsi="Calibri"/>
          <w:sz w:val="22"/>
          <w:szCs w:val="22"/>
        </w:rPr>
        <w:t>Zawartość oferty:</w:t>
      </w:r>
    </w:p>
    <w:p>
      <w:pPr>
        <w:pStyle w:val="ListParagraph"/>
        <w:numPr>
          <w:ilvl w:val="0"/>
          <w:numId w:val="34"/>
        </w:numPr>
        <w:jc w:val="both"/>
        <w:rPr/>
      </w:pPr>
      <w:r>
        <w:rPr>
          <w:rFonts w:ascii="Calibri" w:hAnsi="Calibri"/>
          <w:sz w:val="22"/>
          <w:szCs w:val="22"/>
        </w:rPr>
        <w:t>załącznik nr 2 – formularz ofertowy;</w:t>
      </w:r>
    </w:p>
    <w:p>
      <w:pPr>
        <w:pStyle w:val="ListParagraph"/>
        <w:numPr>
          <w:ilvl w:val="0"/>
          <w:numId w:val="34"/>
        </w:numPr>
        <w:jc w:val="both"/>
        <w:rPr/>
      </w:pPr>
      <w:r>
        <w:rPr>
          <w:rFonts w:ascii="Calibri" w:hAnsi="Calibri"/>
          <w:sz w:val="22"/>
          <w:szCs w:val="22"/>
        </w:rPr>
        <w:t>załącznik nr 3 – oświadczenie Wykonawcy składane na podstawie art. 125 ust. 1 ustawy Pzp, dotyczące przesłanek wykluczenia z postępowania;</w:t>
      </w:r>
    </w:p>
    <w:p>
      <w:pPr>
        <w:pStyle w:val="ListParagraph"/>
        <w:numPr>
          <w:ilvl w:val="0"/>
          <w:numId w:val="34"/>
        </w:numPr>
        <w:jc w:val="both"/>
        <w:rPr/>
      </w:pPr>
      <w:r>
        <w:rPr>
          <w:rFonts w:ascii="Calibri" w:hAnsi="Calibri"/>
          <w:sz w:val="22"/>
          <w:szCs w:val="22"/>
        </w:rPr>
        <w:t>załącznik nr 4 - oświadczenie Wykonawcy składane na podstawie art. 125 ust. 1 ustawy Pzp, dotyczące spełniania warunków udziału w postępowaniu;</w:t>
      </w:r>
    </w:p>
    <w:p>
      <w:pPr>
        <w:pStyle w:val="ListParagraph"/>
        <w:numPr>
          <w:ilvl w:val="0"/>
          <w:numId w:val="34"/>
        </w:numPr>
        <w:jc w:val="both"/>
        <w:rPr/>
      </w:pPr>
      <w:r>
        <w:rPr>
          <w:rFonts w:ascii="Calibri" w:hAnsi="Calibri"/>
          <w:sz w:val="22"/>
          <w:szCs w:val="22"/>
        </w:rPr>
        <w:t>jeżeli dotyczy - pełnomocnictwo, upoważniające do złożenia oferty;</w:t>
      </w:r>
    </w:p>
    <w:p>
      <w:pPr>
        <w:pStyle w:val="ListParagraph"/>
        <w:numPr>
          <w:ilvl w:val="0"/>
          <w:numId w:val="34"/>
        </w:numPr>
        <w:jc w:val="both"/>
        <w:rPr/>
      </w:pPr>
      <w:r>
        <w:rPr>
          <w:rFonts w:ascii="Calibri" w:hAnsi="Calibri"/>
          <w:sz w:val="22"/>
          <w:szCs w:val="22"/>
        </w:rPr>
        <w:t>jeżeli dotyczy - pełnomocnictwo dla pełnomocnika do reprezentowania w postępowaniu Wykonawców wspólnie ubiegających się o udzielenie zamówienia (dotyczy ofert składanych przez Wykonawców wspólnie ubiegających się o udzielenie zamówienia);</w:t>
      </w:r>
    </w:p>
    <w:p>
      <w:pPr>
        <w:pStyle w:val="ListParagraph"/>
        <w:numPr>
          <w:ilvl w:val="0"/>
          <w:numId w:val="34"/>
        </w:numPr>
        <w:jc w:val="both"/>
        <w:rPr/>
      </w:pPr>
      <w:r>
        <w:rPr>
          <w:rFonts w:ascii="Calibri" w:hAnsi="Calibri"/>
          <w:sz w:val="22"/>
          <w:szCs w:val="22"/>
        </w:rPr>
        <w:t>przedmiotowe środki dowodowe – nie dotyczy.</w:t>
      </w:r>
    </w:p>
    <w:p>
      <w:pPr>
        <w:pStyle w:val="ListParagraph"/>
        <w:numPr>
          <w:ilvl w:val="0"/>
          <w:numId w:val="6"/>
        </w:numPr>
        <w:jc w:val="both"/>
        <w:rPr/>
      </w:pPr>
      <w:r>
        <w:rPr>
          <w:rFonts w:ascii="Calibri" w:hAnsi="Calibri"/>
          <w:sz w:val="22"/>
          <w:szCs w:val="22"/>
        </w:rPr>
        <w:t>Wykonawcy wspólnie ubiegający się o zamówienie:</w:t>
      </w:r>
    </w:p>
    <w:p>
      <w:pPr>
        <w:pStyle w:val="ListParagraph"/>
        <w:numPr>
          <w:ilvl w:val="0"/>
          <w:numId w:val="26"/>
        </w:numPr>
        <w:jc w:val="both"/>
        <w:rPr/>
      </w:pPr>
      <w:r>
        <w:rPr>
          <w:rFonts w:ascii="Calibri" w:hAnsi="Calibri"/>
          <w:sz w:val="22"/>
          <w:szCs w:val="22"/>
        </w:rPr>
        <w:t>w przypadku wspólnego ubiegania się o zamówienie przez Wykonawców, oświadczenie o niepodleganiu wykluczeniu i spełnieniu warunku udziału w postępowaniu składa każdy z Wykonawców. Oświadczenie te ma potwierdzać brak podstaw wykluczenia oraz spełnienie warunków udziału w postępowaniu w zakresie, w którym każdy z Wykonawców wykazuje spełnianie warunków udziału w postępowaniu;</w:t>
      </w:r>
    </w:p>
    <w:p>
      <w:pPr>
        <w:pStyle w:val="ListParagraph"/>
        <w:numPr>
          <w:ilvl w:val="0"/>
          <w:numId w:val="26"/>
        </w:numPr>
        <w:jc w:val="both"/>
        <w:rPr/>
      </w:pPr>
      <w:r>
        <w:rPr>
          <w:rFonts w:ascii="Calibri" w:hAnsi="Calibri"/>
          <w:sz w:val="22"/>
          <w:szCs w:val="22"/>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tab/>
      </w:r>
    </w:p>
    <w:p>
      <w:pPr>
        <w:pStyle w:val="ListParagraph"/>
        <w:numPr>
          <w:ilvl w:val="0"/>
          <w:numId w:val="26"/>
        </w:numPr>
        <w:jc w:val="both"/>
        <w:rPr/>
      </w:pPr>
      <w:r>
        <w:rPr>
          <w:rFonts w:ascii="Calibri" w:hAnsi="Calibri"/>
          <w:sz w:val="22"/>
          <w:szCs w:val="22"/>
        </w:rPr>
        <w:t>oferta wspólna, składana przez dwóch lub więcej Wykonawców, powinna spełniać następujące wymagania:</w:t>
      </w:r>
    </w:p>
    <w:p>
      <w:pPr>
        <w:pStyle w:val="ListParagraph"/>
        <w:numPr>
          <w:ilvl w:val="0"/>
          <w:numId w:val="27"/>
        </w:numPr>
        <w:jc w:val="both"/>
        <w:rPr/>
      </w:pPr>
      <w:r>
        <w:rPr>
          <w:rFonts w:ascii="Calibri" w:hAnsi="Calibri"/>
          <w:sz w:val="22"/>
          <w:szCs w:val="22"/>
        </w:rPr>
        <w:t>oferta wspólna ma być sporządzona zgodnie z swz;</w:t>
      </w:r>
    </w:p>
    <w:p>
      <w:pPr>
        <w:pStyle w:val="ListParagraph"/>
        <w:numPr>
          <w:ilvl w:val="0"/>
          <w:numId w:val="27"/>
        </w:numPr>
        <w:jc w:val="both"/>
        <w:rPr/>
      </w:pPr>
      <w:r>
        <w:rPr>
          <w:rFonts w:ascii="Calibri" w:hAnsi="Calibri"/>
          <w:sz w:val="22"/>
          <w:szCs w:val="22"/>
        </w:rPr>
        <w:t>sposób składania dokumentów w ofercie wspólnej:</w:t>
      </w:r>
    </w:p>
    <w:p>
      <w:pPr>
        <w:pStyle w:val="ListParagraph"/>
        <w:numPr>
          <w:ilvl w:val="0"/>
          <w:numId w:val="28"/>
        </w:numPr>
        <w:jc w:val="both"/>
        <w:rPr/>
      </w:pPr>
      <w:r>
        <w:rPr>
          <w:rFonts w:ascii="Calibri" w:hAnsi="Calibri"/>
          <w:sz w:val="22"/>
          <w:szCs w:val="22"/>
        </w:rPr>
        <w:t>dokumenty dotyczące własnej firmy, takie jak np. oświadczenie o braku podstaw do wykluczenia oraz spełnienia warunków udziału w postępowaniu składa każdy z Wykonawców składających ofertę wspólną we własnym imieniu;</w:t>
      </w:r>
    </w:p>
    <w:p>
      <w:pPr>
        <w:pStyle w:val="ListParagraph"/>
        <w:numPr>
          <w:ilvl w:val="0"/>
          <w:numId w:val="28"/>
        </w:numPr>
        <w:jc w:val="both"/>
        <w:rPr/>
      </w:pPr>
      <w:r>
        <w:rPr>
          <w:rFonts w:ascii="Calibri" w:hAnsi="Calibri"/>
          <w:sz w:val="22"/>
          <w:szCs w:val="22"/>
        </w:rPr>
        <w:t>dokumenty wspólne takie jak np. formularz ofertowy, dokumenty podmiotowe i przedmiotowe (jeżeli dotyczy) składa pełnomocnik Wykonawców w imieniu wszystkich Wykonawców składających ofertę wspólną.</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13:</w:t>
      </w:r>
      <w:r>
        <w:rPr>
          <w:rFonts w:ascii="Calibri" w:hAnsi="Calibri"/>
          <w:b/>
          <w:bCs/>
          <w:sz w:val="22"/>
          <w:szCs w:val="22"/>
          <w:u w:val="single"/>
        </w:rPr>
        <w:t xml:space="preserve"> SPOSÓB ORAZ TERMIN SKŁADANIA OFERT</w:t>
      </w:r>
    </w:p>
    <w:p>
      <w:pPr>
        <w:pStyle w:val="Normal"/>
        <w:numPr>
          <w:ilvl w:val="0"/>
          <w:numId w:val="19"/>
        </w:numPr>
        <w:tabs>
          <w:tab w:val="clear" w:pos="708"/>
          <w:tab w:val="left" w:pos="284" w:leader="none"/>
        </w:tabs>
        <w:jc w:val="both"/>
        <w:textAlignment w:val="auto"/>
        <w:rPr/>
      </w:pPr>
      <w:r>
        <w:rPr>
          <w:rFonts w:eastAsia="SimSun" w:cs="Arial" w:asciiTheme="minorHAnsi" w:hAnsiTheme="minorHAnsi"/>
          <w:color w:val="000000"/>
          <w:sz w:val="22"/>
          <w:szCs w:val="22"/>
        </w:rPr>
        <w:t>Wykonawca składa ofertę w języku polskim, sporządzoną pod rygorem nieważności, w formie elektronicznej lub postaci elektronicznej opatrzonej</w:t>
      </w:r>
      <w:r>
        <w:rPr>
          <w:rFonts w:eastAsia="Arial" w:cs="Arial" w:asciiTheme="minorHAnsi" w:hAnsiTheme="minorHAnsi"/>
          <w:color w:val="000000"/>
          <w:sz w:val="22"/>
          <w:szCs w:val="22"/>
        </w:rPr>
        <w:t xml:space="preserve"> </w:t>
      </w:r>
      <w:r>
        <w:rPr>
          <w:rFonts w:eastAsia="SimSun" w:cs="Arial" w:asciiTheme="minorHAnsi" w:hAnsiTheme="minorHAnsi"/>
          <w:color w:val="000000"/>
          <w:sz w:val="22"/>
          <w:szCs w:val="22"/>
        </w:rPr>
        <w:t>kwalifikowanym podpisem elektronicznym, podpisem zaufanym lub podpisem osobistym.</w:t>
      </w:r>
    </w:p>
    <w:p>
      <w:pPr>
        <w:pStyle w:val="Normal"/>
        <w:numPr>
          <w:ilvl w:val="0"/>
          <w:numId w:val="19"/>
        </w:numPr>
        <w:tabs>
          <w:tab w:val="clear" w:pos="708"/>
          <w:tab w:val="left" w:pos="284" w:leader="none"/>
        </w:tabs>
        <w:jc w:val="both"/>
        <w:textAlignment w:val="auto"/>
        <w:rPr/>
      </w:pPr>
      <w:r>
        <w:rPr>
          <w:rFonts w:eastAsia="SimSun" w:cs="Arial" w:asciiTheme="minorHAnsi" w:hAnsiTheme="minorHAnsi"/>
          <w:color w:val="000000"/>
          <w:sz w:val="22"/>
          <w:szCs w:val="22"/>
        </w:rPr>
        <w:t xml:space="preserve">Wykonawca składa ofertę za pośrednictwem portalu </w:t>
      </w:r>
      <w:hyperlink r:id="rId29">
        <w:r>
          <w:rPr>
            <w:rStyle w:val="Czeinternetowe"/>
            <w:rFonts w:eastAsia="SimSun" w:cs="Arial" w:ascii="Calibri" w:hAnsi="Calibri"/>
            <w:sz w:val="22"/>
            <w:szCs w:val="22"/>
          </w:rPr>
          <w:t>Strona główna - Platforma Zakupowa</w:t>
        </w:r>
      </w:hyperlink>
      <w:r>
        <w:rPr>
          <w:rStyle w:val="Czeinternetowe"/>
          <w:rFonts w:eastAsia="SimSun" w:cs="Arial" w:ascii="Calibri" w:hAnsi="Calibri"/>
          <w:sz w:val="22"/>
          <w:szCs w:val="22"/>
        </w:rPr>
        <w:t xml:space="preserve"> </w:t>
      </w:r>
      <w:r>
        <w:rPr>
          <w:rFonts w:eastAsia="SimSun" w:cs="Arial" w:asciiTheme="minorHAnsi" w:hAnsiTheme="minorHAnsi"/>
          <w:color w:val="000000"/>
          <w:sz w:val="22"/>
          <w:szCs w:val="22"/>
        </w:rPr>
        <w:t xml:space="preserve"> za pomocą dedykowanego formularza.</w:t>
      </w:r>
    </w:p>
    <w:p>
      <w:pPr>
        <w:pStyle w:val="Normal"/>
        <w:numPr>
          <w:ilvl w:val="0"/>
          <w:numId w:val="19"/>
        </w:numPr>
        <w:tabs>
          <w:tab w:val="clear" w:pos="708"/>
          <w:tab w:val="left" w:pos="284" w:leader="none"/>
        </w:tabs>
        <w:jc w:val="both"/>
        <w:textAlignment w:val="auto"/>
        <w:rPr/>
      </w:pPr>
      <w:r>
        <w:rPr>
          <w:rFonts w:eastAsia="SimSun" w:cs="Arial" w:asciiTheme="minorHAnsi" w:hAnsiTheme="minorHAnsi"/>
          <w:sz w:val="22"/>
          <w:szCs w:val="22"/>
        </w:rPr>
        <w:t>Oferta może być złożona tylko do upływu terminu składania ofert.</w:t>
      </w:r>
    </w:p>
    <w:p>
      <w:pPr>
        <w:pStyle w:val="Normal"/>
        <w:numPr>
          <w:ilvl w:val="0"/>
          <w:numId w:val="19"/>
        </w:numPr>
        <w:tabs>
          <w:tab w:val="clear" w:pos="708"/>
          <w:tab w:val="left" w:pos="284" w:leader="none"/>
        </w:tabs>
        <w:jc w:val="both"/>
        <w:textAlignment w:val="auto"/>
        <w:rPr/>
      </w:pPr>
      <w:r>
        <w:rPr>
          <w:rFonts w:eastAsia="SimSun" w:cs="Arial" w:asciiTheme="minorHAnsi" w:hAnsiTheme="minorHAnsi"/>
          <w:sz w:val="22"/>
          <w:szCs w:val="22"/>
        </w:rPr>
        <w:t>Wykonawca może przed upływem terminu do składania ofert wycofać ofertę</w:t>
      </w:r>
      <w:r>
        <w:rPr/>
        <w:t xml:space="preserve"> </w:t>
      </w:r>
      <w:r>
        <w:rPr>
          <w:rFonts w:eastAsia="SimSun" w:cs="Arial" w:asciiTheme="minorHAnsi" w:hAnsiTheme="minorHAnsi"/>
          <w:sz w:val="22"/>
          <w:szCs w:val="22"/>
        </w:rPr>
        <w:t xml:space="preserve">za pośrednictwem portalu                 </w:t>
      </w:r>
      <w:hyperlink r:id="rId30">
        <w:r>
          <w:rPr>
            <w:rStyle w:val="Czeinternetowe"/>
            <w:rFonts w:eastAsia="SimSun" w:cs="Arial" w:ascii="Calibri" w:hAnsi="Calibri"/>
            <w:sz w:val="22"/>
            <w:szCs w:val="22"/>
          </w:rPr>
          <w:t>Strona główna - Platforma Zakupowa</w:t>
        </w:r>
      </w:hyperlink>
      <w:r>
        <w:rPr>
          <w:rStyle w:val="Czeinternetowe"/>
          <w:rFonts w:eastAsia="SimSun" w:cs="Arial" w:ascii="Calibri" w:hAnsi="Calibri"/>
          <w:sz w:val="22"/>
          <w:szCs w:val="22"/>
        </w:rPr>
        <w:t xml:space="preserve"> </w:t>
      </w:r>
      <w:r>
        <w:rPr>
          <w:rFonts w:eastAsia="SimSun" w:cs="Arial" w:asciiTheme="minorHAnsi" w:hAnsiTheme="minorHAnsi"/>
          <w:sz w:val="22"/>
          <w:szCs w:val="22"/>
        </w:rPr>
        <w:t>za pomocą dedykowanego formularza.</w:t>
      </w:r>
    </w:p>
    <w:p>
      <w:pPr>
        <w:pStyle w:val="Normal"/>
        <w:numPr>
          <w:ilvl w:val="0"/>
          <w:numId w:val="19"/>
        </w:numPr>
        <w:tabs>
          <w:tab w:val="clear" w:pos="708"/>
          <w:tab w:val="left" w:pos="284" w:leader="none"/>
        </w:tabs>
        <w:jc w:val="both"/>
        <w:textAlignment w:val="auto"/>
        <w:rPr/>
      </w:pPr>
      <w:r>
        <w:rPr>
          <w:rFonts w:eastAsia="SimSun" w:cs="Arial" w:asciiTheme="minorHAnsi" w:hAnsiTheme="minorHAnsi"/>
          <w:b/>
          <w:bCs/>
          <w:sz w:val="22"/>
          <w:szCs w:val="22"/>
        </w:rPr>
        <w:t>Termin składania ofert upływa w dniu 06.09.2024 roku,</w:t>
      </w:r>
      <w:r>
        <w:rPr>
          <w:rFonts w:eastAsia="SimSun" w:cs="Arial" w:asciiTheme="minorHAnsi" w:hAnsiTheme="minorHAnsi"/>
          <w:b/>
          <w:bCs/>
          <w:color w:val="000000"/>
          <w:sz w:val="22"/>
          <w:szCs w:val="22"/>
        </w:rPr>
        <w:t xml:space="preserve"> </w:t>
      </w:r>
      <w:r>
        <w:rPr>
          <w:rFonts w:eastAsia="SimSun" w:cs="Arial" w:asciiTheme="minorHAnsi" w:hAnsiTheme="minorHAnsi"/>
          <w:b/>
          <w:bCs/>
          <w:sz w:val="22"/>
          <w:szCs w:val="22"/>
        </w:rPr>
        <w:t xml:space="preserve">o godz. 09:00. </w:t>
      </w:r>
    </w:p>
    <w:p>
      <w:pPr>
        <w:pStyle w:val="Normal"/>
        <w:numPr>
          <w:ilvl w:val="0"/>
          <w:numId w:val="19"/>
        </w:numPr>
        <w:tabs>
          <w:tab w:val="clear" w:pos="708"/>
          <w:tab w:val="left" w:pos="284" w:leader="none"/>
        </w:tabs>
        <w:jc w:val="both"/>
        <w:textAlignment w:val="auto"/>
        <w:rPr/>
      </w:pPr>
      <w:r>
        <w:rPr>
          <w:rFonts w:eastAsia="SimSun" w:cs="Arial" w:asciiTheme="minorHAnsi" w:hAnsiTheme="minorHAnsi"/>
          <w:sz w:val="22"/>
          <w:szCs w:val="22"/>
        </w:rPr>
        <w:t>Decyduje data oraz dokładny czas (hh:mm:ss) generowany według czasu lokalnego serwera zsynchronizowanego z zegarem Głównego Urzędu Miar.</w:t>
      </w:r>
    </w:p>
    <w:p>
      <w:pPr>
        <w:pStyle w:val="Normal"/>
        <w:numPr>
          <w:ilvl w:val="0"/>
          <w:numId w:val="19"/>
        </w:numPr>
        <w:jc w:val="both"/>
        <w:rPr/>
      </w:pPr>
      <w:r>
        <w:rPr>
          <w:rFonts w:eastAsia="Arial" w:cs="Arial" w:asciiTheme="minorHAnsi" w:hAnsiTheme="minorHAnsi"/>
          <w:color w:val="000000"/>
          <w:sz w:val="22"/>
          <w:szCs w:val="22"/>
        </w:rPr>
        <w:t>Wykonawca po upływie terminu do składania ofert nie może skutecznie dokonać zmiany ani wycofać złożonej oferty.</w:t>
      </w:r>
    </w:p>
    <w:p>
      <w:pPr>
        <w:pStyle w:val="Normal"/>
        <w:numPr>
          <w:ilvl w:val="0"/>
          <w:numId w:val="19"/>
        </w:numPr>
        <w:tabs>
          <w:tab w:val="clear" w:pos="708"/>
          <w:tab w:val="left" w:pos="284" w:leader="none"/>
        </w:tabs>
        <w:jc w:val="both"/>
        <w:textAlignment w:val="auto"/>
        <w:rPr/>
      </w:pPr>
      <w:r>
        <w:rPr>
          <w:rFonts w:eastAsia="SimSun" w:cs="Arial" w:asciiTheme="minorHAnsi" w:hAnsiTheme="minorHAnsi"/>
          <w:color w:val="000000"/>
          <w:sz w:val="22"/>
          <w:szCs w:val="22"/>
        </w:rPr>
        <w:t>Oferta złożona po terminie zostanie odrzucona na podstawie art. 226 ust. 1 pkt 1 ustawy Pzp</w:t>
      </w:r>
      <w:r>
        <w:rPr>
          <w:rFonts w:eastAsia="SimSun" w:cs="Arial" w:ascii="Arial" w:hAnsi="Arial"/>
          <w:color w:val="000000"/>
          <w:sz w:val="22"/>
          <w:szCs w:val="22"/>
        </w:rPr>
        <w:t>.</w:t>
      </w:r>
    </w:p>
    <w:p>
      <w:pPr>
        <w:pStyle w:val="Standard"/>
        <w:jc w:val="both"/>
        <w:rPr/>
      </w:pPr>
      <w:r>
        <w:rPr>
          <w:rFonts w:ascii="Calibri" w:hAnsi="Calibri"/>
          <w:sz w:val="22"/>
          <w:szCs w:val="22"/>
        </w:rPr>
        <w:tab/>
      </w:r>
    </w:p>
    <w:p>
      <w:pPr>
        <w:pStyle w:val="Standard"/>
        <w:jc w:val="both"/>
        <w:rPr/>
      </w:pPr>
      <w:r>
        <w:rPr>
          <w:rFonts w:ascii="Calibri" w:hAnsi="Calibri"/>
          <w:b/>
          <w:bCs/>
          <w:i/>
          <w:iCs/>
          <w:sz w:val="22"/>
          <w:szCs w:val="22"/>
          <w:u w:val="single"/>
        </w:rPr>
        <w:t>ROZDZIAŁ 14:</w:t>
      </w:r>
      <w:r>
        <w:rPr>
          <w:rFonts w:ascii="Calibri" w:hAnsi="Calibri"/>
          <w:b/>
          <w:bCs/>
          <w:sz w:val="22"/>
          <w:szCs w:val="22"/>
          <w:u w:val="single"/>
        </w:rPr>
        <w:t xml:space="preserve"> TERMIN OTWARCIA OFERT</w:t>
      </w:r>
    </w:p>
    <w:p>
      <w:pPr>
        <w:pStyle w:val="Standard"/>
        <w:numPr>
          <w:ilvl w:val="0"/>
          <w:numId w:val="20"/>
        </w:numPr>
        <w:jc w:val="both"/>
        <w:rPr/>
      </w:pPr>
      <w:r>
        <w:rPr>
          <w:rFonts w:eastAsia="SimSun" w:cs="Arial" w:asciiTheme="minorHAnsi" w:hAnsiTheme="minorHAnsi"/>
          <w:b/>
          <w:bCs/>
          <w:kern w:val="0"/>
          <w:sz w:val="22"/>
          <w:szCs w:val="22"/>
          <w:lang w:eastAsia="zh-CN"/>
        </w:rPr>
        <w:t xml:space="preserve">Otwarcie ofert nastąpi w dniu 06.09.2024 roku o godz. 10:00. </w:t>
      </w:r>
    </w:p>
    <w:p>
      <w:pPr>
        <w:pStyle w:val="Standard"/>
        <w:numPr>
          <w:ilvl w:val="0"/>
          <w:numId w:val="20"/>
        </w:numPr>
        <w:jc w:val="both"/>
        <w:rPr/>
      </w:pPr>
      <w:r>
        <w:rPr>
          <w:rFonts w:eastAsia="SimSun" w:cs="Arial" w:asciiTheme="minorHAnsi" w:hAnsiTheme="minorHAnsi"/>
          <w:kern w:val="0"/>
          <w:sz w:val="22"/>
          <w:szCs w:val="22"/>
          <w:lang w:eastAsia="zh-CN"/>
        </w:rPr>
        <w:t xml:space="preserve">Otwarcie ofert dokonywane jest przez odszyfrowanie i otwarcie ofert za pośrednictwem portalu </w:t>
      </w:r>
      <w:hyperlink r:id="rId31">
        <w:r>
          <w:rPr>
            <w:rStyle w:val="Czeinternetowe"/>
            <w:rFonts w:eastAsia="SimSun" w:cs="Arial" w:ascii="Calibri" w:hAnsi="Calibri"/>
            <w:kern w:val="0"/>
            <w:sz w:val="22"/>
            <w:szCs w:val="22"/>
            <w:lang w:eastAsia="zh-CN"/>
          </w:rPr>
          <w:t>Strona główna - Platforma Zakupowa</w:t>
        </w:r>
      </w:hyperlink>
      <w:r>
        <w:rPr>
          <w:rStyle w:val="Czeinternetowe"/>
          <w:rFonts w:eastAsia="SimSun" w:cs="Arial" w:ascii="Calibri" w:hAnsi="Calibri"/>
          <w:kern w:val="0"/>
          <w:sz w:val="22"/>
          <w:szCs w:val="22"/>
          <w:lang w:eastAsia="zh-CN"/>
        </w:rPr>
        <w:t xml:space="preserve"> </w:t>
      </w:r>
      <w:r>
        <w:rPr>
          <w:rFonts w:eastAsia="SimSun" w:cs="Arial" w:asciiTheme="minorHAnsi" w:hAnsiTheme="minorHAnsi"/>
          <w:kern w:val="0"/>
          <w:sz w:val="22"/>
          <w:szCs w:val="22"/>
          <w:lang w:eastAsia="zh-CN"/>
        </w:rPr>
        <w:t xml:space="preserve"> przy użyciu certyfikatów niekwalifikowanych dwóch członków komisji przetargowej Zamawiającego.</w:t>
      </w:r>
    </w:p>
    <w:p>
      <w:pPr>
        <w:pStyle w:val="Standard"/>
        <w:numPr>
          <w:ilvl w:val="0"/>
          <w:numId w:val="20"/>
        </w:numPr>
        <w:jc w:val="both"/>
        <w:rPr/>
      </w:pPr>
      <w:r>
        <w:rPr>
          <w:rFonts w:eastAsia="SimSun" w:cs="Arial" w:asciiTheme="minorHAnsi" w:hAnsiTheme="minorHAnsi"/>
          <w:kern w:val="0"/>
          <w:sz w:val="22"/>
          <w:szCs w:val="22"/>
          <w:lang w:eastAsia="zh-CN"/>
        </w:rPr>
        <w:t>Otwarcie ofert jest niejawne.</w:t>
      </w:r>
    </w:p>
    <w:p>
      <w:pPr>
        <w:pStyle w:val="Standard"/>
        <w:numPr>
          <w:ilvl w:val="0"/>
          <w:numId w:val="20"/>
        </w:numPr>
        <w:jc w:val="both"/>
        <w:rPr/>
      </w:pPr>
      <w:r>
        <w:rPr>
          <w:rFonts w:eastAsia="SimSun" w:cs="Arial" w:asciiTheme="minorHAnsi" w:hAnsiTheme="minorHAnsi"/>
          <w:color w:val="000000"/>
          <w:kern w:val="0"/>
          <w:sz w:val="22"/>
          <w:szCs w:val="22"/>
          <w:lang w:eastAsia="zh-CN"/>
        </w:rPr>
        <w:t>Zamawiający, najpóźniej przed otwarciem ofert udostępnia na stronie internetowej prowadzonego postępowania informację o kwocie, jaką zamierza przeznaczyć na sfinansowanie zamówienia.</w:t>
      </w:r>
    </w:p>
    <w:p>
      <w:pPr>
        <w:pStyle w:val="Standard"/>
        <w:numPr>
          <w:ilvl w:val="0"/>
          <w:numId w:val="20"/>
        </w:numPr>
        <w:jc w:val="both"/>
        <w:rPr/>
      </w:pPr>
      <w:r>
        <w:rPr>
          <w:rFonts w:asciiTheme="minorHAnsi" w:hAnsiTheme="minorHAnsi"/>
          <w:sz w:val="22"/>
          <w:szCs w:val="22"/>
        </w:rPr>
        <w:t>Zamawiający, niezwłocznie po otwarciu ofert, udostępni na stronie internetowej prowadzonego postępowania informacje o:</w:t>
      </w:r>
    </w:p>
    <w:p>
      <w:pPr>
        <w:pStyle w:val="Standard"/>
        <w:numPr>
          <w:ilvl w:val="0"/>
          <w:numId w:val="25"/>
        </w:numPr>
        <w:jc w:val="both"/>
        <w:rPr/>
      </w:pPr>
      <w:r>
        <w:rPr>
          <w:rFonts w:asciiTheme="minorHAnsi" w:hAnsiTheme="minorHAnsi"/>
          <w:sz w:val="22"/>
          <w:szCs w:val="22"/>
        </w:rPr>
        <w:t>nazwach albo imionach i nazwiskach oraz siedzibach lub miejscach prowadzonej działalności gospodarczej albo miejscach zamieszkania Wykonawców, których oferty zostały otwarte;</w:t>
      </w:r>
    </w:p>
    <w:p>
      <w:pPr>
        <w:pStyle w:val="Standard"/>
        <w:numPr>
          <w:ilvl w:val="0"/>
          <w:numId w:val="25"/>
        </w:numPr>
        <w:jc w:val="both"/>
        <w:rPr/>
      </w:pPr>
      <w:r>
        <w:rPr>
          <w:rFonts w:asciiTheme="minorHAnsi" w:hAnsiTheme="minorHAnsi"/>
          <w:sz w:val="22"/>
          <w:szCs w:val="22"/>
        </w:rPr>
        <w:t>cenach zawartych w ofertach.</w:t>
      </w:r>
    </w:p>
    <w:p>
      <w:pPr>
        <w:pStyle w:val="Standard"/>
        <w:numPr>
          <w:ilvl w:val="0"/>
          <w:numId w:val="20"/>
        </w:numPr>
        <w:jc w:val="both"/>
        <w:rPr/>
      </w:pPr>
      <w:r>
        <w:rPr>
          <w:rFonts w:asciiTheme="minorHAnsi" w:hAnsiTheme="minorHAnsi"/>
          <w:sz w:val="22"/>
          <w:szCs w:val="22"/>
        </w:rPr>
        <w:t>W przypadku wystąpienia awarii systemu teleinformatycznego, która spowoduje brak możliwości otwarcia ofert w terminie określonym przez Zamawiającego, otwarcie ofert nastąpi niezwłocznie po usunięciu awarii.</w:t>
      </w:r>
    </w:p>
    <w:p>
      <w:pPr>
        <w:pStyle w:val="Standard"/>
        <w:numPr>
          <w:ilvl w:val="0"/>
          <w:numId w:val="20"/>
        </w:numPr>
        <w:jc w:val="both"/>
        <w:rPr/>
      </w:pPr>
      <w:r>
        <w:rPr>
          <w:rFonts w:asciiTheme="minorHAnsi" w:hAnsiTheme="minorHAnsi"/>
          <w:sz w:val="22"/>
          <w:szCs w:val="22"/>
        </w:rPr>
        <w:t>Zamawiający poinformuje o zmianie terminu otwarcia ofert na stronie internetowej prowadzonego postępowania.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15:</w:t>
      </w:r>
      <w:r>
        <w:rPr>
          <w:rFonts w:ascii="Calibri" w:hAnsi="Calibri"/>
          <w:b/>
          <w:bCs/>
          <w:sz w:val="22"/>
          <w:szCs w:val="22"/>
          <w:u w:val="single"/>
        </w:rPr>
        <w:t xml:space="preserve"> PODSTAWY WYKLUCZENIA, O KTÓRYCH MOWA W ART. 108 UST. 1</w:t>
      </w:r>
    </w:p>
    <w:p>
      <w:pPr>
        <w:pStyle w:val="Normal"/>
        <w:widowControl/>
        <w:numPr>
          <w:ilvl w:val="0"/>
          <w:numId w:val="22"/>
        </w:numPr>
        <w:tabs>
          <w:tab w:val="clear" w:pos="708"/>
          <w:tab w:val="left" w:pos="284" w:leader="none"/>
        </w:tabs>
        <w:jc w:val="both"/>
        <w:textAlignment w:val="auto"/>
        <w:rPr/>
      </w:pPr>
      <w:r>
        <w:rPr>
          <w:rFonts w:eastAsia="SimSun" w:cs="Arial" w:asciiTheme="minorHAnsi" w:hAnsiTheme="minorHAnsi"/>
          <w:color w:val="000000"/>
          <w:kern w:val="0"/>
          <w:sz w:val="22"/>
          <w:szCs w:val="22"/>
          <w:lang w:eastAsia="zh-CN"/>
        </w:rPr>
        <w:t>Z postępowania o udzielenie zamówienia wyklucza się Wykonawcę:</w:t>
      </w:r>
    </w:p>
    <w:p>
      <w:pPr>
        <w:pStyle w:val="Normal"/>
        <w:widowControl/>
        <w:numPr>
          <w:ilvl w:val="0"/>
          <w:numId w:val="23"/>
        </w:numPr>
        <w:jc w:val="both"/>
        <w:textAlignment w:val="auto"/>
        <w:rPr/>
      </w:pPr>
      <w:r>
        <w:rPr>
          <w:rFonts w:eastAsia="SimSun" w:cs="Arial" w:asciiTheme="minorHAnsi" w:hAnsiTheme="minorHAnsi"/>
          <w:color w:val="000000"/>
          <w:kern w:val="0"/>
          <w:sz w:val="22"/>
          <w:szCs w:val="22"/>
          <w:lang w:eastAsia="zh-CN"/>
        </w:rPr>
        <w:t>będącego osobą fizyczną, którego prawomocnie skazano za przestępstwo:</w:t>
      </w:r>
    </w:p>
    <w:p>
      <w:pPr>
        <w:pStyle w:val="Normal"/>
        <w:widowControl/>
        <w:numPr>
          <w:ilvl w:val="0"/>
          <w:numId w:val="24"/>
        </w:numPr>
        <w:tabs>
          <w:tab w:val="clear" w:pos="708"/>
          <w:tab w:val="left" w:pos="851" w:leader="none"/>
        </w:tabs>
        <w:jc w:val="both"/>
        <w:textAlignment w:val="auto"/>
        <w:rPr/>
      </w:pPr>
      <w:r>
        <w:rPr>
          <w:rFonts w:eastAsia="SimSun" w:cs="Arial" w:asciiTheme="minorHAnsi" w:hAnsiTheme="minorHAnsi"/>
          <w:color w:val="000000"/>
          <w:kern w:val="0"/>
          <w:sz w:val="22"/>
          <w:szCs w:val="22"/>
          <w:lang w:eastAsia="zh-CN"/>
        </w:rPr>
        <w:t>udziału w zorganizowanej grupie przestępczej w związku mającym na celu popełnienie przestępstwa lub przestępstwa skarbowego, o którym mowa w art. 258 Kodeksu karnego;</w:t>
      </w:r>
    </w:p>
    <w:p>
      <w:pPr>
        <w:pStyle w:val="Normal"/>
        <w:widowControl/>
        <w:numPr>
          <w:ilvl w:val="0"/>
          <w:numId w:val="24"/>
        </w:numPr>
        <w:tabs>
          <w:tab w:val="clear" w:pos="708"/>
          <w:tab w:val="left" w:pos="851" w:leader="none"/>
        </w:tabs>
        <w:jc w:val="both"/>
        <w:textAlignment w:val="auto"/>
        <w:rPr/>
      </w:pPr>
      <w:r>
        <w:rPr>
          <w:rFonts w:eastAsia="SimSun" w:cs="Arial" w:asciiTheme="minorHAnsi" w:hAnsiTheme="minorHAnsi"/>
          <w:color w:val="000000"/>
          <w:kern w:val="0"/>
          <w:sz w:val="22"/>
          <w:szCs w:val="22"/>
          <w:lang w:eastAsia="zh-CN"/>
        </w:rPr>
        <w:t>handlu ludźmi, o którym mowa w art. 189a Kodeksu karnego;</w:t>
      </w:r>
    </w:p>
    <w:p>
      <w:pPr>
        <w:pStyle w:val="Normal"/>
        <w:widowControl/>
        <w:numPr>
          <w:ilvl w:val="0"/>
          <w:numId w:val="24"/>
        </w:numPr>
        <w:tabs>
          <w:tab w:val="clear" w:pos="708"/>
          <w:tab w:val="left" w:pos="851" w:leader="none"/>
        </w:tabs>
        <w:jc w:val="both"/>
        <w:textAlignment w:val="auto"/>
        <w:rPr/>
      </w:pPr>
      <w:r>
        <w:rPr>
          <w:rFonts w:eastAsia="SimSun" w:cs="Arial" w:asciiTheme="minorHAnsi" w:hAnsiTheme="minorHAnsi"/>
          <w:color w:val="000000"/>
          <w:kern w:val="0"/>
          <w:sz w:val="22"/>
          <w:szCs w:val="22"/>
          <w:lang w:eastAsia="zh-CN"/>
        </w:rPr>
        <w:t>o którym mowa w art. 228-230a, art. 250a Kodeksu karnego lub w art. 46 lub art. 48 ustawy z dnia             25 czerwca 2010 r. o sporcie;</w:t>
      </w:r>
    </w:p>
    <w:p>
      <w:pPr>
        <w:pStyle w:val="Normal"/>
        <w:widowControl/>
        <w:numPr>
          <w:ilvl w:val="0"/>
          <w:numId w:val="24"/>
        </w:numPr>
        <w:tabs>
          <w:tab w:val="clear" w:pos="708"/>
          <w:tab w:val="left" w:pos="851" w:leader="none"/>
        </w:tabs>
        <w:jc w:val="both"/>
        <w:textAlignment w:val="auto"/>
        <w:rPr/>
      </w:pPr>
      <w:r>
        <w:rPr>
          <w:rFonts w:eastAsia="SimSun" w:cs="Arial" w:asciiTheme="minorHAnsi" w:hAnsiTheme="minorHAnsi"/>
          <w:color w:val="000000"/>
          <w:kern w:val="0"/>
          <w:sz w:val="22"/>
          <w:szCs w:val="22"/>
          <w:lang w:eastAsia="zh-CN"/>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pPr>
        <w:pStyle w:val="Normal"/>
        <w:widowControl/>
        <w:numPr>
          <w:ilvl w:val="0"/>
          <w:numId w:val="24"/>
        </w:numPr>
        <w:tabs>
          <w:tab w:val="clear" w:pos="708"/>
          <w:tab w:val="left" w:pos="851" w:leader="none"/>
        </w:tabs>
        <w:jc w:val="both"/>
        <w:textAlignment w:val="auto"/>
        <w:rPr/>
      </w:pPr>
      <w:r>
        <w:rPr>
          <w:rFonts w:eastAsia="SimSun" w:cs="Arial" w:asciiTheme="minorHAnsi" w:hAnsiTheme="minorHAnsi"/>
          <w:color w:val="000000"/>
          <w:kern w:val="0"/>
          <w:sz w:val="22"/>
          <w:szCs w:val="22"/>
          <w:lang w:eastAsia="zh-CN"/>
        </w:rPr>
        <w:t xml:space="preserve">o charakterze terrorystycznym, o którym mowa w art. 115 </w:t>
      </w:r>
      <w:r>
        <w:rPr>
          <w:rFonts w:eastAsia="Times New Roman" w:cs="Arial" w:asciiTheme="minorHAnsi" w:hAnsiTheme="minorHAnsi"/>
          <w:kern w:val="0"/>
          <w:sz w:val="22"/>
          <w:szCs w:val="22"/>
          <w:lang w:eastAsia="zh-CN"/>
        </w:rPr>
        <w:t>§ 20 Kodeksu karnego, lub mające na celu popełnienie tego przestępstwa;</w:t>
      </w:r>
    </w:p>
    <w:p>
      <w:pPr>
        <w:pStyle w:val="Normal"/>
        <w:widowControl/>
        <w:numPr>
          <w:ilvl w:val="0"/>
          <w:numId w:val="24"/>
        </w:numPr>
        <w:tabs>
          <w:tab w:val="clear" w:pos="708"/>
          <w:tab w:val="left" w:pos="851" w:leader="none"/>
        </w:tabs>
        <w:jc w:val="both"/>
        <w:textAlignment w:val="auto"/>
        <w:rPr/>
      </w:pPr>
      <w:r>
        <w:rPr>
          <w:rFonts w:eastAsia="Times New Roman" w:cs="Arial" w:asciiTheme="minorHAnsi" w:hAnsiTheme="minorHAnsi"/>
          <w:kern w:val="0"/>
          <w:sz w:val="22"/>
          <w:szCs w:val="22"/>
          <w:lang w:eastAsia="zh-CN"/>
        </w:rPr>
        <w:t xml:space="preserve">pracy małoletnich cudzoziemców, o którym mowa w art. 9 ust. 2 </w:t>
      </w:r>
      <w:bookmarkStart w:id="5" w:name="__DdeLink__851_57003594"/>
      <w:r>
        <w:rPr>
          <w:rFonts w:eastAsia="Times New Roman" w:cs="Arial" w:asciiTheme="minorHAnsi" w:hAnsiTheme="minorHAnsi"/>
          <w:kern w:val="0"/>
          <w:sz w:val="22"/>
          <w:szCs w:val="22"/>
          <w:lang w:eastAsia="zh-CN"/>
        </w:rPr>
        <w:t>ustawy z dnia 15 czerwca 2012 r.               o skutkach powierzania wykonywania pracy cudzoziemcom przebywającym wbrew przepisom na terytorium Rzeczypospolitej Polskiej</w:t>
      </w:r>
      <w:bookmarkEnd w:id="5"/>
      <w:r>
        <w:rPr>
          <w:rFonts w:eastAsia="Times New Roman" w:cs="Arial" w:asciiTheme="minorHAnsi" w:hAnsiTheme="minorHAnsi"/>
          <w:kern w:val="0"/>
          <w:sz w:val="22"/>
          <w:szCs w:val="22"/>
          <w:lang w:eastAsia="zh-CN"/>
        </w:rPr>
        <w:t xml:space="preserve"> (Dz. U. 2021r. Poz. 1745 z poź. zm.);</w:t>
      </w:r>
    </w:p>
    <w:p>
      <w:pPr>
        <w:pStyle w:val="Normal"/>
        <w:widowControl/>
        <w:numPr>
          <w:ilvl w:val="0"/>
          <w:numId w:val="24"/>
        </w:numPr>
        <w:tabs>
          <w:tab w:val="clear" w:pos="708"/>
          <w:tab w:val="left" w:pos="851" w:leader="none"/>
        </w:tabs>
        <w:jc w:val="both"/>
        <w:textAlignment w:val="auto"/>
        <w:rPr/>
      </w:pPr>
      <w:r>
        <w:rPr>
          <w:rFonts w:eastAsia="Times New Roman" w:cs="Arial" w:asciiTheme="minorHAnsi" w:hAnsiTheme="minorHAnsi"/>
          <w:kern w:val="0"/>
          <w:sz w:val="22"/>
          <w:szCs w:val="22"/>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widowControl/>
        <w:numPr>
          <w:ilvl w:val="0"/>
          <w:numId w:val="24"/>
        </w:numPr>
        <w:tabs>
          <w:tab w:val="clear" w:pos="708"/>
          <w:tab w:val="left" w:pos="851" w:leader="none"/>
        </w:tabs>
        <w:jc w:val="both"/>
        <w:textAlignment w:val="auto"/>
        <w:rPr/>
      </w:pPr>
      <w:r>
        <w:rPr>
          <w:rFonts w:eastAsia="Times New Roman" w:cs="Arial" w:asciiTheme="minorHAnsi" w:hAnsiTheme="minorHAnsi"/>
          <w:kern w:val="0"/>
          <w:sz w:val="22"/>
          <w:szCs w:val="22"/>
          <w:lang w:eastAsia="zh-CN"/>
        </w:rPr>
        <w:t>o którym mowa w art. 9 ust. 1 i 3 lub art. 10 ustawy z dnia 15 czerwca 2012 r. o skutkach powierzania wykonywania pracy cudzoziemcom przebywającym wbrew przepisom na terytorium Rzeczypospolitej Polskiej</w:t>
      </w:r>
    </w:p>
    <w:p>
      <w:pPr>
        <w:pStyle w:val="Normal"/>
        <w:widowControl/>
        <w:tabs>
          <w:tab w:val="clear" w:pos="708"/>
          <w:tab w:val="left" w:pos="851" w:leader="none"/>
        </w:tabs>
        <w:ind w:left="1428" w:hanging="0"/>
        <w:jc w:val="both"/>
        <w:textAlignment w:val="auto"/>
        <w:rPr/>
      </w:pPr>
      <w:r>
        <w:rPr>
          <w:rFonts w:eastAsia="Times New Roman" w:cs="Arial" w:asciiTheme="minorHAnsi" w:hAnsiTheme="minorHAnsi"/>
          <w:kern w:val="0"/>
          <w:sz w:val="22"/>
          <w:szCs w:val="22"/>
          <w:lang w:eastAsia="zh-CN"/>
        </w:rPr>
        <w:t xml:space="preserve">– </w:t>
      </w:r>
      <w:r>
        <w:rPr>
          <w:rFonts w:eastAsia="Times New Roman" w:cs="Arial" w:asciiTheme="minorHAnsi" w:hAnsiTheme="minorHAnsi"/>
          <w:kern w:val="0"/>
          <w:sz w:val="22"/>
          <w:szCs w:val="22"/>
          <w:lang w:eastAsia="zh-CN"/>
        </w:rPr>
        <w:t>lub za odpowiedni czyn zabroniony określony w przepisach prawa obcego;</w:t>
      </w:r>
    </w:p>
    <w:p>
      <w:pPr>
        <w:pStyle w:val="Normal"/>
        <w:widowControl/>
        <w:numPr>
          <w:ilvl w:val="0"/>
          <w:numId w:val="23"/>
        </w:numPr>
        <w:jc w:val="both"/>
        <w:textAlignment w:val="auto"/>
        <w:rPr/>
      </w:pPr>
      <w:r>
        <w:rPr>
          <w:rFonts w:eastAsia="Times New Roman" w:cs="Arial" w:asciiTheme="minorHAnsi" w:hAnsiTheme="minorHAnsi"/>
          <w:kern w:val="0"/>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widowControl/>
        <w:numPr>
          <w:ilvl w:val="0"/>
          <w:numId w:val="23"/>
        </w:numPr>
        <w:jc w:val="both"/>
        <w:textAlignment w:val="auto"/>
        <w:rPr/>
      </w:pPr>
      <w:r>
        <w:rPr>
          <w:rFonts w:eastAsia="SimSun" w:cs="Arial" w:asciiTheme="minorHAnsi" w:hAnsiTheme="minorHAnsi"/>
          <w:color w:val="000000"/>
          <w:kern w:val="0"/>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widowControl/>
        <w:numPr>
          <w:ilvl w:val="0"/>
          <w:numId w:val="23"/>
        </w:numPr>
        <w:jc w:val="both"/>
        <w:textAlignment w:val="auto"/>
        <w:rPr/>
      </w:pPr>
      <w:r>
        <w:rPr>
          <w:rFonts w:eastAsia="SimSun" w:cs="Arial" w:asciiTheme="minorHAnsi" w:hAnsiTheme="minorHAnsi"/>
          <w:color w:val="000000"/>
          <w:kern w:val="0"/>
          <w:sz w:val="22"/>
          <w:szCs w:val="22"/>
          <w:lang w:eastAsia="zh-CN"/>
        </w:rPr>
        <w:t>wobec którego prawomocnie orzeczono zakaz ubiegania się o zamówienia publiczne;</w:t>
      </w:r>
    </w:p>
    <w:p>
      <w:pPr>
        <w:pStyle w:val="Normal"/>
        <w:widowControl/>
        <w:numPr>
          <w:ilvl w:val="0"/>
          <w:numId w:val="23"/>
        </w:numPr>
        <w:jc w:val="both"/>
        <w:textAlignment w:val="auto"/>
        <w:rPr/>
      </w:pPr>
      <w:r>
        <w:rPr>
          <w:rFonts w:eastAsia="SimSun" w:cs="Arial" w:asciiTheme="minorHAnsi" w:hAnsiTheme="minorHAnsi"/>
          <w:color w:val="000000"/>
          <w:kern w:val="0"/>
          <w:sz w:val="22"/>
          <w:szCs w:val="22"/>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widowControl/>
        <w:numPr>
          <w:ilvl w:val="0"/>
          <w:numId w:val="23"/>
        </w:numPr>
        <w:jc w:val="both"/>
        <w:textAlignment w:val="auto"/>
        <w:rPr/>
      </w:pPr>
      <w:r>
        <w:rPr>
          <w:rFonts w:eastAsia="SimSun" w:cs="Arial" w:asciiTheme="minorHAnsi" w:hAnsiTheme="minorHAnsi"/>
          <w:color w:val="000000"/>
          <w:kern w:val="0"/>
          <w:sz w:val="22"/>
          <w:szCs w:val="22"/>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Normal"/>
        <w:widowControl/>
        <w:numPr>
          <w:ilvl w:val="0"/>
          <w:numId w:val="22"/>
        </w:numPr>
        <w:tabs>
          <w:tab w:val="clear" w:pos="708"/>
          <w:tab w:val="left" w:pos="284" w:leader="none"/>
        </w:tabs>
        <w:jc w:val="both"/>
        <w:textAlignment w:val="auto"/>
        <w:rPr/>
      </w:pPr>
      <w:r>
        <w:rPr>
          <w:rFonts w:eastAsia="SimSun" w:cs="Arial" w:asciiTheme="minorHAnsi" w:hAnsiTheme="minorHAnsi"/>
          <w:color w:val="000000"/>
          <w:kern w:val="0"/>
          <w:sz w:val="22"/>
          <w:szCs w:val="22"/>
          <w:lang w:eastAsia="zh-CN"/>
        </w:rPr>
        <w:t>Wykonawca może zostać wykluczony przez Zamawiającego na każdym etapie postępowania o udzielenie zamówienia.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16:</w:t>
      </w:r>
      <w:r>
        <w:rPr>
          <w:rFonts w:ascii="Calibri" w:hAnsi="Calibri"/>
          <w:b/>
          <w:bCs/>
          <w:sz w:val="22"/>
          <w:szCs w:val="22"/>
          <w:u w:val="single"/>
        </w:rPr>
        <w:t xml:space="preserve"> SPOSÓB OBLICZENIA CENY</w:t>
      </w:r>
    </w:p>
    <w:p>
      <w:pPr>
        <w:pStyle w:val="Standard"/>
        <w:numPr>
          <w:ilvl w:val="0"/>
          <w:numId w:val="7"/>
        </w:numPr>
        <w:jc w:val="both"/>
        <w:rPr/>
      </w:pPr>
      <w:r>
        <w:rPr>
          <w:rFonts w:ascii="Calibri" w:hAnsi="Calibri"/>
          <w:sz w:val="22"/>
          <w:szCs w:val="22"/>
        </w:rPr>
        <w:t>Cena oferty musi być podana w złotych polskich, cyfrowo i słownie.</w:t>
      </w:r>
    </w:p>
    <w:p>
      <w:pPr>
        <w:pStyle w:val="Standard"/>
        <w:numPr>
          <w:ilvl w:val="0"/>
          <w:numId w:val="7"/>
        </w:numPr>
        <w:jc w:val="both"/>
        <w:rPr/>
      </w:pPr>
      <w:r>
        <w:rPr>
          <w:rFonts w:ascii="Calibri" w:hAnsi="Calibri"/>
          <w:sz w:val="22"/>
          <w:szCs w:val="22"/>
        </w:rPr>
        <w:t>W ofercie należy podać cenę netto realizacji zamówienia, cenę brutto, stawkę i kwotę należnego podatku od towarów i usług VAT (jeżeli występuje) zgodnie z obowiązującymi przepisami prawa w tym zakresie.</w:t>
      </w:r>
    </w:p>
    <w:p>
      <w:pPr>
        <w:pStyle w:val="Standard"/>
        <w:numPr>
          <w:ilvl w:val="0"/>
          <w:numId w:val="7"/>
        </w:numPr>
        <w:jc w:val="both"/>
        <w:rPr/>
      </w:pPr>
      <w:r>
        <w:rPr>
          <w:rFonts w:ascii="Calibri" w:hAnsi="Calibri"/>
          <w:sz w:val="22"/>
          <w:szCs w:val="22"/>
        </w:rPr>
        <w:t>Cena w ofercie powinna obejmować wszystkie koszty i składniki związane z wykonaniem zamówienia                 w zakresie wynikającym z opisu przedmiotu zamówienia.</w:t>
      </w:r>
    </w:p>
    <w:p>
      <w:pPr>
        <w:pStyle w:val="Standard"/>
        <w:numPr>
          <w:ilvl w:val="0"/>
          <w:numId w:val="7"/>
        </w:numPr>
        <w:jc w:val="both"/>
        <w:rPr/>
      </w:pPr>
      <w:r>
        <w:rPr>
          <w:rFonts w:ascii="Calibri" w:hAnsi="Calibri"/>
          <w:sz w:val="22"/>
          <w:szCs w:val="22"/>
        </w:rPr>
        <w:t>Kalkulacja ceny winna uwzględniać wymagania określające standard, jakość i sposób wykonania zamówienia, określone w opisie przedmiotu zamówienia.</w:t>
      </w:r>
    </w:p>
    <w:p>
      <w:pPr>
        <w:pStyle w:val="Standard"/>
        <w:numPr>
          <w:ilvl w:val="0"/>
          <w:numId w:val="7"/>
        </w:numPr>
        <w:jc w:val="both"/>
        <w:rPr/>
      </w:pPr>
      <w:r>
        <w:rPr>
          <w:rFonts w:ascii="Calibri" w:hAnsi="Calibri"/>
          <w:sz w:val="22"/>
          <w:szCs w:val="22"/>
        </w:rPr>
        <w:t>Wykonawca w swojej ofercie winien zaoferować tylko jedną cenę za oferowany przedmiot zamówienia, cena powinna być kompletna, jednoznaczna i ostateczna.</w:t>
      </w:r>
    </w:p>
    <w:p>
      <w:pPr>
        <w:pStyle w:val="Standard"/>
        <w:numPr>
          <w:ilvl w:val="0"/>
          <w:numId w:val="7"/>
        </w:numPr>
        <w:jc w:val="both"/>
        <w:rPr/>
      </w:pPr>
      <w:r>
        <w:rPr>
          <w:rFonts w:ascii="Calibri" w:hAnsi="Calibri"/>
          <w:sz w:val="22"/>
          <w:szCs w:val="22"/>
        </w:rPr>
        <w:t>Cena oferowana powinna być podana z dokładnością do 1 grosza, tj. do dwóch miejsc po przecinku.</w:t>
      </w:r>
    </w:p>
    <w:p>
      <w:pPr>
        <w:pStyle w:val="Standard"/>
        <w:numPr>
          <w:ilvl w:val="0"/>
          <w:numId w:val="7"/>
        </w:numPr>
        <w:jc w:val="both"/>
        <w:rPr/>
      </w:pPr>
      <w:r>
        <w:rPr>
          <w:rFonts w:ascii="Calibri" w:hAnsi="Calibri"/>
          <w:sz w:val="22"/>
          <w:szCs w:val="22"/>
        </w:rPr>
        <w:t>Prawidłowe ustalenie podatku należy do obowiązku Wykonawcy, zgodnie z przepisami ustawy o podatku od towarów i usług oraz podatku akcyzowym. Zastosowanie przez Wykonawcę stawki podatku VAT niezgodnej                 z obowiązującymi przepisami Zamawiający potraktuje jako błąd w obliczeniu ceny, skutkujący odrzuceniem oferty na podstawie art. 226 ust. 1 pkt 10 ustawy Pzp.</w:t>
      </w:r>
    </w:p>
    <w:p>
      <w:pPr>
        <w:pStyle w:val="Standard"/>
        <w:numPr>
          <w:ilvl w:val="0"/>
          <w:numId w:val="7"/>
        </w:numPr>
        <w:jc w:val="both"/>
        <w:rPr/>
      </w:pPr>
      <w:r>
        <w:rPr>
          <w:rFonts w:ascii="Calibri" w:hAnsi="Calibri"/>
          <w:sz w:val="22"/>
          <w:szCs w:val="22"/>
        </w:rPr>
        <w:t xml:space="preserve">Na podstawie art. 225 ust. 2 ustawy Pzp, Wykonawca, składając ofertę, jest zobowiązany poinformować Zamawiającego, czy wybór jego oferty prowadziłby do powstania u Zamawiającego obowiązku podatkowego zgodnie z przepisami o podatku od towarów i usług, wskazując nazwę (rodzaj) towaru lub usługi, których dostawa lub świadczenie będzie prowadzić do jego powstania, oraz wskazując ich wartość bez kwoty podatku. Na podstawie art. 225 ust. 1 Zamawiający w celu oceny takiej oferty dolicza do przedstawionej w niej ceny podatek od towarów i usług, który miałby obowiązek rozliczyć zgodnie z tymi przepisami. </w:t>
      </w:r>
    </w:p>
    <w:p>
      <w:pPr>
        <w:pStyle w:val="Standard"/>
        <w:numPr>
          <w:ilvl w:val="0"/>
          <w:numId w:val="7"/>
        </w:numPr>
        <w:jc w:val="both"/>
        <w:rPr/>
      </w:pPr>
      <w:r>
        <w:rPr>
          <w:rFonts w:ascii="Calibri" w:hAnsi="Calibri"/>
          <w:sz w:val="22"/>
          <w:szCs w:val="22"/>
        </w:rPr>
        <w:t xml:space="preserve">Cenę za wykonanie przedmiotu zamówienia należy zawrzeć w formularzu ofertowym według wzoru, który stanowi </w:t>
      </w:r>
      <w:r>
        <w:rPr>
          <w:rFonts w:ascii="Calibri" w:hAnsi="Calibri"/>
          <w:b/>
          <w:sz w:val="22"/>
          <w:szCs w:val="22"/>
        </w:rPr>
        <w:t>załącznik nr 2 do swz.</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17:</w:t>
      </w:r>
      <w:r>
        <w:rPr>
          <w:rFonts w:ascii="Calibri" w:hAnsi="Calibri"/>
          <w:b/>
          <w:bCs/>
          <w:sz w:val="22"/>
          <w:szCs w:val="22"/>
          <w:u w:val="single"/>
        </w:rPr>
        <w:t xml:space="preserve"> OPIS KRYTERIÓW OCENY OFERT, WRAZ Z PODANIEM WAG TYCH KRYTERIÓW, I SPOSOBU OCENY OFERT</w:t>
      </w:r>
    </w:p>
    <w:p>
      <w:pPr>
        <w:pStyle w:val="Standard"/>
        <w:ind w:firstLine="708"/>
        <w:jc w:val="both"/>
        <w:rPr/>
      </w:pPr>
      <w:r>
        <w:rPr>
          <w:rFonts w:ascii="Calibri" w:hAnsi="Calibri"/>
          <w:sz w:val="22"/>
          <w:szCs w:val="22"/>
        </w:rPr>
        <w:t>Przy wyborze najkorzystniejszej oferty Zamawiający będzie się kierował następującymi kryteriami:</w:t>
      </w:r>
    </w:p>
    <w:p>
      <w:pPr>
        <w:pStyle w:val="Standard"/>
        <w:jc w:val="both"/>
        <w:rPr/>
      </w:pPr>
      <w:r>
        <w:rPr/>
      </w:r>
    </w:p>
    <w:p>
      <w:pPr>
        <w:pStyle w:val="Standard"/>
        <w:jc w:val="both"/>
        <w:rPr/>
      </w:pPr>
      <w:r>
        <w:rPr/>
      </w:r>
    </w:p>
    <w:tbl>
      <w:tblPr>
        <w:tblW w:w="8074" w:type="dxa"/>
        <w:jc w:val="left"/>
        <w:tblInd w:w="1240" w:type="dxa"/>
        <w:tblCellMar>
          <w:top w:w="55" w:type="dxa"/>
          <w:left w:w="55" w:type="dxa"/>
          <w:bottom w:w="55" w:type="dxa"/>
          <w:right w:w="55" w:type="dxa"/>
        </w:tblCellMar>
        <w:tblLook w:firstRow="0" w:noVBand="0" w:lastRow="0" w:firstColumn="0" w:lastColumn="0" w:noHBand="0" w:val="0000"/>
      </w:tblPr>
      <w:tblGrid>
        <w:gridCol w:w="624"/>
        <w:gridCol w:w="5152"/>
        <w:gridCol w:w="2298"/>
      </w:tblGrid>
      <w:tr>
        <w:trPr/>
        <w:tc>
          <w:tcPr>
            <w:tcW w:w="624" w:type="dxa"/>
            <w:tcBorders>
              <w:top w:val="single" w:sz="2" w:space="0" w:color="000000"/>
              <w:left w:val="single" w:sz="2" w:space="0" w:color="000000"/>
              <w:bottom w:val="single" w:sz="2" w:space="0" w:color="000000"/>
            </w:tcBorders>
            <w:shd w:color="auto" w:fill="DDDDDD" w:val="clear"/>
          </w:tcPr>
          <w:p>
            <w:pPr>
              <w:pStyle w:val="Zawartotabeli"/>
              <w:jc w:val="center"/>
              <w:rPr/>
            </w:pPr>
            <w:r>
              <w:rPr>
                <w:rFonts w:ascii="Calibri" w:hAnsi="Calibri"/>
                <w:b/>
                <w:bCs/>
                <w:sz w:val="22"/>
                <w:szCs w:val="22"/>
              </w:rPr>
              <w:t>Lp.</w:t>
            </w:r>
          </w:p>
        </w:tc>
        <w:tc>
          <w:tcPr>
            <w:tcW w:w="5152" w:type="dxa"/>
            <w:tcBorders>
              <w:top w:val="single" w:sz="2" w:space="0" w:color="000000"/>
              <w:left w:val="single" w:sz="2" w:space="0" w:color="000000"/>
              <w:bottom w:val="single" w:sz="2" w:space="0" w:color="000000"/>
            </w:tcBorders>
            <w:shd w:color="auto" w:fill="DDDDDD" w:val="clear"/>
          </w:tcPr>
          <w:p>
            <w:pPr>
              <w:pStyle w:val="Zawartotabeli"/>
              <w:jc w:val="center"/>
              <w:rPr/>
            </w:pPr>
            <w:r>
              <w:rPr>
                <w:rFonts w:ascii="Calibri" w:hAnsi="Calibri"/>
                <w:b/>
                <w:bCs/>
                <w:sz w:val="22"/>
                <w:szCs w:val="22"/>
              </w:rPr>
              <w:t>Kryterium</w:t>
            </w:r>
          </w:p>
        </w:tc>
        <w:tc>
          <w:tcPr>
            <w:tcW w:w="2298" w:type="dxa"/>
            <w:tcBorders>
              <w:top w:val="single" w:sz="2" w:space="0" w:color="000000"/>
              <w:left w:val="single" w:sz="2" w:space="0" w:color="000000"/>
              <w:bottom w:val="single" w:sz="2" w:space="0" w:color="000000"/>
              <w:right w:val="single" w:sz="2" w:space="0" w:color="000000"/>
            </w:tcBorders>
            <w:shd w:color="auto" w:fill="DDDDDD" w:val="clear"/>
          </w:tcPr>
          <w:p>
            <w:pPr>
              <w:pStyle w:val="Zawartotabeli"/>
              <w:jc w:val="center"/>
              <w:rPr/>
            </w:pPr>
            <w:r>
              <w:rPr>
                <w:rFonts w:ascii="Calibri" w:hAnsi="Calibri"/>
                <w:b/>
                <w:bCs/>
                <w:sz w:val="22"/>
                <w:szCs w:val="22"/>
              </w:rPr>
              <w:t>Waga</w:t>
            </w:r>
          </w:p>
        </w:tc>
      </w:tr>
      <w:tr>
        <w:trPr/>
        <w:tc>
          <w:tcPr>
            <w:tcW w:w="624"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1.</w:t>
            </w:r>
          </w:p>
        </w:tc>
        <w:tc>
          <w:tcPr>
            <w:tcW w:w="5152"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Cena</w:t>
            </w:r>
          </w:p>
        </w:tc>
        <w:tc>
          <w:tcPr>
            <w:tcW w:w="2298" w:type="dxa"/>
            <w:tcBorders>
              <w:left w:val="single" w:sz="2" w:space="0" w:color="000000"/>
              <w:bottom w:val="single" w:sz="2" w:space="0" w:color="000000"/>
              <w:right w:val="single" w:sz="2" w:space="0" w:color="000000"/>
            </w:tcBorders>
            <w:shd w:color="auto" w:fill="auto" w:val="clear"/>
          </w:tcPr>
          <w:p>
            <w:pPr>
              <w:pStyle w:val="Zawartotabeli"/>
              <w:jc w:val="center"/>
              <w:rPr/>
            </w:pPr>
            <w:r>
              <w:rPr>
                <w:rFonts w:ascii="Calibri" w:hAnsi="Calibri"/>
                <w:sz w:val="22"/>
                <w:szCs w:val="22"/>
              </w:rPr>
              <w:t>60%</w:t>
            </w:r>
          </w:p>
        </w:tc>
      </w:tr>
      <w:tr>
        <w:trPr/>
        <w:tc>
          <w:tcPr>
            <w:tcW w:w="624"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2.</w:t>
            </w:r>
          </w:p>
        </w:tc>
        <w:tc>
          <w:tcPr>
            <w:tcW w:w="5152"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Termin płatności</w:t>
            </w:r>
          </w:p>
        </w:tc>
        <w:tc>
          <w:tcPr>
            <w:tcW w:w="2298" w:type="dxa"/>
            <w:tcBorders>
              <w:left w:val="single" w:sz="2" w:space="0" w:color="000000"/>
              <w:bottom w:val="single" w:sz="2" w:space="0" w:color="000000"/>
              <w:right w:val="single" w:sz="2" w:space="0" w:color="000000"/>
            </w:tcBorders>
            <w:shd w:color="auto" w:fill="auto" w:val="clear"/>
          </w:tcPr>
          <w:p>
            <w:pPr>
              <w:pStyle w:val="Zawartotabeli"/>
              <w:jc w:val="center"/>
              <w:rPr/>
            </w:pPr>
            <w:r>
              <w:rPr>
                <w:rFonts w:ascii="Calibri" w:hAnsi="Calibri"/>
                <w:sz w:val="22"/>
                <w:szCs w:val="22"/>
              </w:rPr>
              <w:t>40%</w:t>
            </w:r>
          </w:p>
        </w:tc>
      </w:tr>
    </w:tbl>
    <w:p>
      <w:pPr>
        <w:pStyle w:val="Standard"/>
        <w:jc w:val="both"/>
        <w:rPr>
          <w:rFonts w:ascii="Calibri" w:hAnsi="Calibri"/>
          <w:sz w:val="22"/>
          <w:szCs w:val="22"/>
        </w:rPr>
      </w:pPr>
      <w:r>
        <w:rPr>
          <w:rFonts w:ascii="Calibri" w:hAnsi="Calibri"/>
          <w:sz w:val="22"/>
          <w:szCs w:val="22"/>
        </w:rPr>
      </w:r>
    </w:p>
    <w:p>
      <w:pPr>
        <w:pStyle w:val="Standard"/>
        <w:numPr>
          <w:ilvl w:val="0"/>
          <w:numId w:val="8"/>
        </w:numPr>
        <w:jc w:val="both"/>
        <w:rPr/>
      </w:pPr>
      <w:r>
        <w:rPr>
          <w:rFonts w:ascii="Calibri" w:hAnsi="Calibri"/>
          <w:sz w:val="22"/>
          <w:szCs w:val="22"/>
        </w:rPr>
        <w:t xml:space="preserve">W kryterium </w:t>
      </w:r>
      <w:r>
        <w:rPr>
          <w:rFonts w:ascii="Calibri" w:hAnsi="Calibri"/>
          <w:bCs/>
          <w:sz w:val="22"/>
          <w:szCs w:val="22"/>
        </w:rPr>
        <w:t>„Cena”</w:t>
      </w:r>
      <w:r>
        <w:rPr>
          <w:rFonts w:ascii="Calibri" w:hAnsi="Calibri"/>
          <w:sz w:val="22"/>
          <w:szCs w:val="22"/>
        </w:rPr>
        <w:t xml:space="preserve"> najwyższą liczbę punktów 60 otrzyma oferta zawierająca najniższą cenę brutto, a każda następna odpowiednio zgodnie ze wzorem:</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sz w:val="22"/>
          <w:szCs w:val="22"/>
        </w:rPr>
        <w:tab/>
        <w:tab/>
        <w:tab/>
        <w:tab/>
        <w:t>Cn – najniższa cena oferty brutto</w:t>
      </w:r>
    </w:p>
    <w:p>
      <w:pPr>
        <w:pStyle w:val="Standard"/>
        <w:ind w:left="2124" w:hanging="0"/>
        <w:jc w:val="both"/>
        <w:rPr/>
      </w:pPr>
      <w:r>
        <w:rPr>
          <w:rFonts w:ascii="Calibri" w:hAnsi="Calibri"/>
          <w:sz w:val="22"/>
          <w:szCs w:val="22"/>
        </w:rPr>
        <w:t>Cx = ---------------------------------------------------------------  x  60%</w:t>
      </w:r>
    </w:p>
    <w:p>
      <w:pPr>
        <w:pStyle w:val="Standard"/>
        <w:ind w:left="2124" w:firstLine="708"/>
        <w:jc w:val="both"/>
        <w:rPr/>
      </w:pPr>
      <w:r>
        <w:rPr>
          <w:rFonts w:ascii="Calibri" w:hAnsi="Calibri"/>
          <w:sz w:val="22"/>
          <w:szCs w:val="22"/>
        </w:rPr>
        <w:t>Cb – cena oferty brutto w ofercie ocenianej</w:t>
      </w:r>
    </w:p>
    <w:p>
      <w:pPr>
        <w:pStyle w:val="Standard"/>
        <w:jc w:val="both"/>
        <w:rPr>
          <w:rFonts w:ascii="Calibri" w:hAnsi="Calibri"/>
          <w:sz w:val="22"/>
          <w:szCs w:val="22"/>
        </w:rPr>
      </w:pPr>
      <w:r>
        <w:rPr>
          <w:rFonts w:ascii="Calibri" w:hAnsi="Calibri"/>
          <w:sz w:val="22"/>
          <w:szCs w:val="22"/>
        </w:rPr>
      </w:r>
    </w:p>
    <w:p>
      <w:pPr>
        <w:pStyle w:val="Standard"/>
        <w:ind w:firstLine="708"/>
        <w:jc w:val="both"/>
        <w:rPr/>
      </w:pPr>
      <w:r>
        <w:rPr>
          <w:rFonts w:ascii="Calibri" w:hAnsi="Calibri"/>
          <w:sz w:val="22"/>
          <w:szCs w:val="22"/>
        </w:rPr>
        <w:t>gdzie:</w:t>
      </w:r>
    </w:p>
    <w:p>
      <w:pPr>
        <w:pStyle w:val="Standard"/>
        <w:numPr>
          <w:ilvl w:val="1"/>
          <w:numId w:val="9"/>
        </w:numPr>
        <w:jc w:val="both"/>
        <w:rPr/>
      </w:pPr>
      <w:r>
        <w:rPr>
          <w:rFonts w:ascii="Calibri" w:hAnsi="Calibri"/>
          <w:sz w:val="22"/>
          <w:szCs w:val="22"/>
        </w:rPr>
        <w:t>Cx – ilość punktów przyznana ocenianej ofercie za cenę;</w:t>
      </w:r>
    </w:p>
    <w:p>
      <w:pPr>
        <w:pStyle w:val="Standard"/>
        <w:numPr>
          <w:ilvl w:val="1"/>
          <w:numId w:val="9"/>
        </w:numPr>
        <w:jc w:val="both"/>
        <w:rPr/>
      </w:pPr>
      <w:r>
        <w:rPr>
          <w:rFonts w:ascii="Calibri" w:hAnsi="Calibri"/>
          <w:sz w:val="22"/>
          <w:szCs w:val="22"/>
        </w:rPr>
        <w:t>Cn – najniższa cena oferty brutto;</w:t>
      </w:r>
    </w:p>
    <w:p>
      <w:pPr>
        <w:pStyle w:val="Standard"/>
        <w:numPr>
          <w:ilvl w:val="1"/>
          <w:numId w:val="9"/>
        </w:numPr>
        <w:jc w:val="both"/>
        <w:rPr/>
      </w:pPr>
      <w:r>
        <w:rPr>
          <w:rFonts w:ascii="Calibri" w:hAnsi="Calibri"/>
          <w:sz w:val="22"/>
          <w:szCs w:val="22"/>
        </w:rPr>
        <w:t>Cb – cena oferty brutto w ofercie ocenianej.</w:t>
      </w:r>
    </w:p>
    <w:p>
      <w:pPr>
        <w:pStyle w:val="Standard"/>
        <w:jc w:val="both"/>
        <w:rPr>
          <w:rFonts w:ascii="Calibri" w:hAnsi="Calibri"/>
          <w:sz w:val="22"/>
          <w:szCs w:val="22"/>
        </w:rPr>
      </w:pPr>
      <w:r>
        <w:rPr>
          <w:rFonts w:ascii="Calibri" w:hAnsi="Calibri"/>
          <w:sz w:val="22"/>
          <w:szCs w:val="22"/>
        </w:rPr>
      </w:r>
    </w:p>
    <w:p>
      <w:pPr>
        <w:pStyle w:val="Standard"/>
        <w:numPr>
          <w:ilvl w:val="0"/>
          <w:numId w:val="8"/>
        </w:numPr>
        <w:jc w:val="both"/>
        <w:rPr/>
      </w:pPr>
      <w:r>
        <w:rPr>
          <w:rFonts w:ascii="Calibri" w:hAnsi="Calibri"/>
          <w:sz w:val="22"/>
          <w:szCs w:val="22"/>
        </w:rPr>
        <w:t xml:space="preserve">W kryterium </w:t>
      </w:r>
      <w:r>
        <w:rPr>
          <w:rFonts w:ascii="Calibri" w:hAnsi="Calibri"/>
          <w:bCs/>
          <w:sz w:val="22"/>
          <w:szCs w:val="22"/>
        </w:rPr>
        <w:t>„Termin płatności”</w:t>
      </w:r>
      <w:r>
        <w:rPr>
          <w:rFonts w:ascii="Calibri" w:hAnsi="Calibri"/>
          <w:sz w:val="22"/>
          <w:szCs w:val="22"/>
        </w:rPr>
        <w:t xml:space="preserve"> Zamawiający będzie przyznawał punkty w następujący sposób:</w:t>
      </w:r>
    </w:p>
    <w:p>
      <w:pPr>
        <w:pStyle w:val="ListParagraph"/>
        <w:numPr>
          <w:ilvl w:val="1"/>
          <w:numId w:val="8"/>
        </w:numPr>
        <w:rPr/>
      </w:pPr>
      <w:r>
        <w:rPr>
          <w:rFonts w:ascii="Calibri" w:hAnsi="Calibri"/>
          <w:sz w:val="22"/>
          <w:szCs w:val="22"/>
        </w:rPr>
        <w:t>Zamawiający określa minimalny termin płatności na: do 7 dni – 0 punktów;</w:t>
      </w:r>
    </w:p>
    <w:p>
      <w:pPr>
        <w:pStyle w:val="Standard"/>
        <w:numPr>
          <w:ilvl w:val="1"/>
          <w:numId w:val="8"/>
        </w:numPr>
        <w:jc w:val="both"/>
        <w:rPr/>
      </w:pPr>
      <w:r>
        <w:rPr>
          <w:rFonts w:ascii="Calibri" w:hAnsi="Calibri"/>
          <w:sz w:val="22"/>
          <w:szCs w:val="22"/>
        </w:rPr>
        <w:t>od 8 dni do 14 dni – 10 punktów;</w:t>
      </w:r>
    </w:p>
    <w:p>
      <w:pPr>
        <w:pStyle w:val="ListParagraph"/>
        <w:numPr>
          <w:ilvl w:val="1"/>
          <w:numId w:val="8"/>
        </w:numPr>
        <w:rPr/>
      </w:pPr>
      <w:r>
        <w:rPr>
          <w:rFonts w:ascii="Calibri" w:hAnsi="Calibri"/>
          <w:sz w:val="22"/>
          <w:szCs w:val="22"/>
        </w:rPr>
        <w:t>od 15 dni do 21 dni – 25 punktów;</w:t>
      </w:r>
    </w:p>
    <w:p>
      <w:pPr>
        <w:pStyle w:val="ListParagraph"/>
        <w:numPr>
          <w:ilvl w:val="1"/>
          <w:numId w:val="8"/>
        </w:numPr>
        <w:rPr/>
      </w:pPr>
      <w:r>
        <w:rPr>
          <w:rFonts w:ascii="Calibri" w:hAnsi="Calibri"/>
          <w:sz w:val="22"/>
          <w:szCs w:val="22"/>
        </w:rPr>
        <w:t>od 22 dni do 25 dni – 30 punktów;</w:t>
      </w:r>
    </w:p>
    <w:p>
      <w:pPr>
        <w:pStyle w:val="Standard"/>
        <w:numPr>
          <w:ilvl w:val="1"/>
          <w:numId w:val="8"/>
        </w:numPr>
        <w:jc w:val="both"/>
        <w:rPr/>
      </w:pPr>
      <w:r>
        <w:rPr>
          <w:rFonts w:ascii="Calibri" w:hAnsi="Calibri"/>
          <w:sz w:val="22"/>
          <w:szCs w:val="22"/>
        </w:rPr>
        <w:t>od 26 dni do 30 dni – 40 punktów.</w:t>
      </w:r>
    </w:p>
    <w:p>
      <w:pPr>
        <w:pStyle w:val="Standard"/>
        <w:ind w:left="1080" w:hanging="0"/>
        <w:jc w:val="both"/>
        <w:rPr>
          <w:rFonts w:ascii="Calibri" w:hAnsi="Calibri"/>
          <w:sz w:val="22"/>
          <w:szCs w:val="22"/>
        </w:rPr>
      </w:pPr>
      <w:r>
        <w:rPr>
          <w:rFonts w:ascii="Calibri" w:hAnsi="Calibri"/>
          <w:sz w:val="22"/>
          <w:szCs w:val="22"/>
        </w:rPr>
      </w:r>
    </w:p>
    <w:p>
      <w:pPr>
        <w:pStyle w:val="Standard"/>
        <w:ind w:firstLine="708"/>
        <w:jc w:val="both"/>
        <w:rPr/>
      </w:pPr>
      <w:r>
        <w:rPr>
          <w:rFonts w:ascii="Calibri" w:hAnsi="Calibri"/>
          <w:sz w:val="22"/>
          <w:szCs w:val="22"/>
        </w:rPr>
        <w:t>Maksymalna liczba punktów do uzyskania w kryterium „Termin płatności” wynosi 40.</w:t>
      </w:r>
    </w:p>
    <w:p>
      <w:pPr>
        <w:pStyle w:val="Standard"/>
        <w:ind w:left="708" w:hanging="0"/>
        <w:jc w:val="both"/>
        <w:rPr/>
      </w:pPr>
      <w:r>
        <w:rPr>
          <w:rFonts w:ascii="Calibri" w:hAnsi="Calibri"/>
          <w:bCs/>
          <w:sz w:val="22"/>
          <w:szCs w:val="22"/>
        </w:rPr>
        <w:t>W formularzu ofertowym Wykonawca oświadcza jaki termin płatności udziela na przedmiot zamówienia.</w:t>
      </w:r>
    </w:p>
    <w:p>
      <w:pPr>
        <w:pStyle w:val="Standard"/>
        <w:ind w:left="708" w:hanging="0"/>
        <w:jc w:val="both"/>
        <w:rPr/>
      </w:pPr>
      <w:r>
        <w:rPr/>
      </w:r>
    </w:p>
    <w:p>
      <w:pPr>
        <w:pStyle w:val="Standard"/>
        <w:numPr>
          <w:ilvl w:val="0"/>
          <w:numId w:val="8"/>
        </w:numPr>
        <w:jc w:val="both"/>
        <w:rPr/>
      </w:pPr>
      <w:r>
        <w:rPr>
          <w:rFonts w:ascii="Calibri" w:hAnsi="Calibri"/>
          <w:bCs/>
          <w:sz w:val="22"/>
          <w:szCs w:val="22"/>
        </w:rPr>
        <w:t>Za ofertę najkorzystniejszą, uznana zostanie oferta, która uzyskała najwyższą sumaryczną liczbę punktów za wszystkie kryteria, pozostałe oferty zostaną sklasyfikowane zgodnie w kolejności ilości uzyskanych punktów.</w:t>
      </w:r>
    </w:p>
    <w:p>
      <w:pPr>
        <w:pStyle w:val="Standard"/>
        <w:numPr>
          <w:ilvl w:val="0"/>
          <w:numId w:val="8"/>
        </w:numPr>
        <w:jc w:val="both"/>
        <w:rPr/>
      </w:pPr>
      <w:r>
        <w:rPr>
          <w:rFonts w:ascii="Calibri" w:hAnsi="Calibri"/>
          <w:bCs/>
          <w:sz w:val="22"/>
          <w:szCs w:val="22"/>
        </w:rPr>
        <w:t>Liczba punktów zaokrąglana będzie do dwóch miejsc po przecinku.</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18:</w:t>
      </w:r>
      <w:r>
        <w:rPr>
          <w:rFonts w:ascii="Calibri" w:hAnsi="Calibri"/>
          <w:b/>
          <w:bCs/>
          <w:sz w:val="22"/>
          <w:szCs w:val="22"/>
          <w:u w:val="single"/>
        </w:rPr>
        <w:t xml:space="preserve"> INFORMACJE O FORMALNOŚCIACH, JAKIE MUSZĄ ZOSTAĆ DOPEŁNIONE PO WYBORZE OFERTY                      W CELU ZAWARCIA UMOWY W SPRAWIE ZAMÓWIENIA PUBLICZNEGO</w:t>
      </w:r>
    </w:p>
    <w:p>
      <w:pPr>
        <w:pStyle w:val="Standard"/>
        <w:numPr>
          <w:ilvl w:val="0"/>
          <w:numId w:val="10"/>
        </w:numPr>
        <w:jc w:val="both"/>
        <w:rPr/>
      </w:pPr>
      <w:r>
        <w:rPr>
          <w:rFonts w:eastAsia="Arial" w:cs="Arial" w:ascii="Calibri" w:hAnsi="Calibri"/>
          <w:color w:val="000000"/>
          <w:sz w:val="22"/>
          <w:szCs w:val="22"/>
        </w:rPr>
        <w:t>Niezwłocznie po wyborze najkorzystniejszej oferty Zamawiający informuje równocześnie Wykonawców, którzy złożyli oferty o:</w:t>
      </w:r>
    </w:p>
    <w:p>
      <w:pPr>
        <w:pStyle w:val="Standard"/>
        <w:numPr>
          <w:ilvl w:val="0"/>
          <w:numId w:val="29"/>
        </w:numPr>
        <w:jc w:val="both"/>
        <w:rPr/>
      </w:pPr>
      <w:r>
        <w:rPr>
          <w:rFonts w:eastAsia="Arial" w:cs="Arial" w:ascii="Calibri" w:hAnsi="Calibr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Standard"/>
        <w:numPr>
          <w:ilvl w:val="0"/>
          <w:numId w:val="29"/>
        </w:numPr>
        <w:jc w:val="both"/>
        <w:rPr/>
      </w:pPr>
      <w:r>
        <w:rPr>
          <w:rFonts w:eastAsia="Arial" w:cs="Arial" w:ascii="Calibri" w:hAnsi="Calibri"/>
          <w:color w:val="000000"/>
          <w:sz w:val="22"/>
          <w:szCs w:val="22"/>
        </w:rPr>
        <w:t>Wykonawcach, których oferty zostały odrzucone</w:t>
      </w:r>
    </w:p>
    <w:p>
      <w:pPr>
        <w:pStyle w:val="Standard"/>
        <w:ind w:left="1080" w:hanging="0"/>
        <w:jc w:val="both"/>
        <w:rPr/>
      </w:pPr>
      <w:r>
        <w:rPr>
          <w:rFonts w:eastAsia="Arial" w:cs="Arial" w:ascii="Calibri" w:hAnsi="Calibri"/>
          <w:color w:val="000000"/>
          <w:sz w:val="22"/>
          <w:szCs w:val="22"/>
        </w:rPr>
        <w:t>- podając uzasadnienie faktyczne i prawne.</w:t>
      </w:r>
    </w:p>
    <w:p>
      <w:pPr>
        <w:pStyle w:val="Standard"/>
        <w:numPr>
          <w:ilvl w:val="0"/>
          <w:numId w:val="10"/>
        </w:numPr>
        <w:jc w:val="both"/>
        <w:rPr/>
      </w:pPr>
      <w:r>
        <w:rPr>
          <w:rFonts w:eastAsia="Arial" w:cs="Arial" w:ascii="Calibri" w:hAnsi="Calibri"/>
          <w:color w:val="000000"/>
          <w:sz w:val="22"/>
          <w:szCs w:val="22"/>
        </w:rPr>
        <w:t xml:space="preserve">Zamawiający udostępni niezwłocznie informacje, o których mowa w ust. 1 pkt 1, na stornie internetowej prowadzonego postępowania tj.: na portalu </w:t>
      </w:r>
      <w:hyperlink r:id="rId32">
        <w:r>
          <w:rPr>
            <w:rStyle w:val="Czeinternetowe"/>
            <w:rFonts w:eastAsia="Arial" w:cs="Arial" w:ascii="Calibri" w:hAnsi="Calibri"/>
            <w:sz w:val="22"/>
            <w:szCs w:val="22"/>
          </w:rPr>
          <w:t>Strona główna - Platforma Zakupowa</w:t>
        </w:r>
      </w:hyperlink>
      <w:r>
        <w:rPr>
          <w:rStyle w:val="Czeinternetowe"/>
          <w:rFonts w:eastAsia="Arial" w:cs="Arial" w:ascii="Calibri" w:hAnsi="Calibri"/>
          <w:sz w:val="22"/>
          <w:szCs w:val="22"/>
        </w:rPr>
        <w:t xml:space="preserve"> </w:t>
      </w:r>
    </w:p>
    <w:p>
      <w:pPr>
        <w:pStyle w:val="Standard"/>
        <w:numPr>
          <w:ilvl w:val="0"/>
          <w:numId w:val="10"/>
        </w:numPr>
        <w:jc w:val="both"/>
        <w:rPr/>
      </w:pPr>
      <w:r>
        <w:rPr>
          <w:rFonts w:eastAsia="Arial" w:cs="Arial" w:ascii="Calibri" w:hAnsi="Calibri"/>
          <w:color w:val="000000"/>
          <w:sz w:val="22"/>
          <w:szCs w:val="22"/>
        </w:rPr>
        <w:t>Umowa w sprawie realizacji zamówienia publicznego zawarta zostanie z uwzględnieniem postanowień wynikających z treści niniejszej swz oraz danych zawartych w ofercie.</w:t>
      </w:r>
    </w:p>
    <w:p>
      <w:pPr>
        <w:pStyle w:val="Standard"/>
        <w:numPr>
          <w:ilvl w:val="0"/>
          <w:numId w:val="10"/>
        </w:numPr>
        <w:jc w:val="both"/>
        <w:rPr/>
      </w:pPr>
      <w:r>
        <w:rPr>
          <w:rFonts w:eastAsia="Arial" w:cs="Arial" w:ascii="Calibri" w:hAnsi="Calibri"/>
          <w:color w:val="000000"/>
          <w:sz w:val="22"/>
          <w:szCs w:val="22"/>
        </w:rPr>
        <w:t xml:space="preserve">Zamawiający zawiera umowę w sprawie zamówienia publicznego, z uwzględnieniem art. 577 ustawy Pzp,           w terminie nie krótszym niż 5 dni od dnia przekazania zawiadomienia o wyborze oferty, jeżeli zawiadomienie to zostało przesłane przy użyciu środków komunikacji elektronicznej, albo 10 dni, jeżeli zostało przesłane                 w inny sposób. </w:t>
      </w:r>
    </w:p>
    <w:p>
      <w:pPr>
        <w:pStyle w:val="Standard"/>
        <w:numPr>
          <w:ilvl w:val="0"/>
          <w:numId w:val="10"/>
        </w:numPr>
        <w:jc w:val="both"/>
        <w:rPr/>
      </w:pPr>
      <w:r>
        <w:rPr>
          <w:rFonts w:eastAsia="Arial" w:cs="Arial" w:ascii="Calibri" w:hAnsi="Calibri"/>
          <w:color w:val="000000"/>
          <w:sz w:val="22"/>
          <w:szCs w:val="22"/>
        </w:rPr>
        <w:t>Zamawiający może zawrzeć umowę w sprawie zamówienia publicznego przed upływem terminu, o którym mowa w ust. 4, jeżeli w postępowaniu o udzielenie zamówienia złożono tylko jedną ofertę.</w:t>
      </w:r>
    </w:p>
    <w:p>
      <w:pPr>
        <w:pStyle w:val="Standard"/>
        <w:numPr>
          <w:ilvl w:val="0"/>
          <w:numId w:val="10"/>
        </w:numPr>
        <w:jc w:val="both"/>
        <w:rPr/>
      </w:pPr>
      <w:r>
        <w:rPr>
          <w:rFonts w:eastAsia="Arial" w:cs="Arial" w:ascii="Calibri" w:hAnsi="Calibri"/>
          <w:color w:val="000000"/>
          <w:sz w:val="22"/>
          <w:szCs w:val="22"/>
        </w:rPr>
        <w:t xml:space="preserve">Wykonawca zawrze umowę w sprawie zamówienia publicznego zgodnie z postanowieniami określonymi we wzorze umowy, który stanowi </w:t>
      </w:r>
      <w:r>
        <w:rPr>
          <w:rFonts w:eastAsia="Arial" w:cs="Arial" w:ascii="Calibri" w:hAnsi="Calibri"/>
          <w:b/>
          <w:color w:val="000000"/>
          <w:sz w:val="22"/>
          <w:szCs w:val="22"/>
        </w:rPr>
        <w:t>załącznik nr 6 do swz.</w:t>
      </w:r>
    </w:p>
    <w:p>
      <w:pPr>
        <w:pStyle w:val="Normal"/>
        <w:numPr>
          <w:ilvl w:val="0"/>
          <w:numId w:val="10"/>
        </w:numPr>
        <w:jc w:val="both"/>
        <w:rPr/>
      </w:pPr>
      <w:r>
        <w:rPr>
          <w:rFonts w:eastAsia="Arial" w:cs="Arial" w:ascii="Calibri" w:hAnsi="Calibri"/>
          <w:color w:val="000000"/>
          <w:sz w:val="22"/>
          <w:szCs w:val="22"/>
        </w:rPr>
        <w:t>Umowa zostanie zawarta pod rygorem nieważności w formie pisemnej. Zamawiający powiadomi Wykonawcę o proponowanym miejscu i terminie podpisania umowy.</w:t>
      </w:r>
    </w:p>
    <w:p>
      <w:pPr>
        <w:pStyle w:val="Standard"/>
        <w:numPr>
          <w:ilvl w:val="0"/>
          <w:numId w:val="10"/>
        </w:numPr>
        <w:jc w:val="both"/>
        <w:rPr/>
      </w:pPr>
      <w:r>
        <w:rPr>
          <w:rFonts w:eastAsia="Arial" w:cs="Arial" w:ascii="Calibri" w:hAnsi="Calibri"/>
          <w:color w:val="000000"/>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Standard"/>
        <w:numPr>
          <w:ilvl w:val="0"/>
          <w:numId w:val="10"/>
        </w:numPr>
        <w:jc w:val="both"/>
        <w:rPr/>
      </w:pPr>
      <w:r>
        <w:rPr>
          <w:rFonts w:eastAsia="Arial" w:cs="Arial" w:ascii="Calibri" w:hAnsi="Calibri"/>
          <w:color w:val="000000"/>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pPr>
        <w:pStyle w:val="Standard"/>
        <w:numPr>
          <w:ilvl w:val="0"/>
          <w:numId w:val="10"/>
        </w:numPr>
        <w:jc w:val="both"/>
        <w:rPr/>
      </w:pPr>
      <w:r>
        <w:rPr>
          <w:rFonts w:eastAsia="Arial" w:cs="Arial" w:ascii="Calibri" w:hAnsi="Calibri"/>
          <w:sz w:val="22"/>
          <w:szCs w:val="22"/>
        </w:rPr>
        <w:t>Zamawiający może unieważnić postępowanie o udzielenie zamówienia publicznego w przypadkach określonych w ustawie Pzp.</w:t>
      </w:r>
    </w:p>
    <w:p>
      <w:pPr>
        <w:pStyle w:val="Standard"/>
        <w:numPr>
          <w:ilvl w:val="0"/>
          <w:numId w:val="10"/>
        </w:numPr>
        <w:jc w:val="both"/>
        <w:rPr/>
      </w:pPr>
      <w:r>
        <w:rPr>
          <w:rFonts w:eastAsia="Arial" w:cs="Arial" w:ascii="Calibri" w:hAnsi="Calibri"/>
          <w:sz w:val="22"/>
          <w:szCs w:val="22"/>
        </w:rPr>
        <w:t>O unieważnieniu postępowania o udzielenie zamówienia publicznego, Zamawiający zawiadomi równocześnie wszystkich Wykonawców, którzy:</w:t>
      </w:r>
    </w:p>
    <w:p>
      <w:pPr>
        <w:pStyle w:val="Standard"/>
        <w:numPr>
          <w:ilvl w:val="1"/>
          <w:numId w:val="10"/>
        </w:numPr>
        <w:jc w:val="both"/>
        <w:rPr/>
      </w:pPr>
      <w:r>
        <w:rPr>
          <w:rFonts w:eastAsia="Arial" w:cs="Arial" w:ascii="Calibri" w:hAnsi="Calibri"/>
          <w:sz w:val="22"/>
          <w:szCs w:val="22"/>
        </w:rPr>
        <w:t>ubiegali się o udzielenie zamówienia - w przypadku unieważnienia postępowania przed upływem terminu składania ofert;</w:t>
      </w:r>
    </w:p>
    <w:p>
      <w:pPr>
        <w:pStyle w:val="Standard"/>
        <w:numPr>
          <w:ilvl w:val="1"/>
          <w:numId w:val="10"/>
        </w:numPr>
        <w:jc w:val="both"/>
        <w:rPr/>
      </w:pPr>
      <w:r>
        <w:rPr>
          <w:rFonts w:eastAsia="Arial" w:cs="Arial" w:ascii="Calibri" w:hAnsi="Calibri"/>
          <w:sz w:val="22"/>
          <w:szCs w:val="22"/>
        </w:rPr>
        <w:t>złożyli oferty - w przypadku unieważnienia postępowania po upływie terminu składania ofert, podając uzasadnienie faktyczne i prawne.</w:t>
      </w:r>
    </w:p>
    <w:p>
      <w:pPr>
        <w:pStyle w:val="Standard"/>
        <w:numPr>
          <w:ilvl w:val="0"/>
          <w:numId w:val="10"/>
        </w:numPr>
        <w:jc w:val="both"/>
        <w:rPr/>
      </w:pPr>
      <w:r>
        <w:rPr>
          <w:rFonts w:eastAsia="Arial" w:cs="Arial" w:ascii="Calibri" w:hAnsi="Calibri"/>
          <w:sz w:val="22"/>
          <w:szCs w:val="22"/>
        </w:rPr>
        <w:t xml:space="preserve">Zamawiający udostępni niezwłocznie informacje, o których mowa w ust. 10, na stronie internetowej prowadzonego postępowania tj.: na portalu </w:t>
      </w:r>
      <w:hyperlink r:id="rId33">
        <w:r>
          <w:rPr>
            <w:rStyle w:val="Czeinternetowe"/>
            <w:rFonts w:eastAsia="Arial" w:cs="Arial" w:ascii="Calibri" w:hAnsi="Calibri"/>
            <w:sz w:val="22"/>
            <w:szCs w:val="22"/>
          </w:rPr>
          <w:t>Strona główna - Platforma Zakupowa</w:t>
        </w:r>
      </w:hyperlink>
      <w:r>
        <w:rPr>
          <w:rStyle w:val="Czeinternetowe"/>
          <w:rFonts w:eastAsia="Arial" w:cs="Arial" w:ascii="Calibri" w:hAnsi="Calibri"/>
          <w:sz w:val="22"/>
          <w:szCs w:val="22"/>
        </w:rPr>
        <w:t xml:space="preserve"> </w:t>
      </w:r>
      <w:r>
        <w:rPr>
          <w:rFonts w:eastAsia="Arial" w:cs="Arial" w:ascii="Calibri" w:hAnsi="Calibri"/>
          <w:sz w:val="22"/>
          <w:szCs w:val="22"/>
        </w:rPr>
        <w:t>.</w:t>
      </w:r>
    </w:p>
    <w:p>
      <w:pPr>
        <w:pStyle w:val="Standard"/>
        <w:numPr>
          <w:ilvl w:val="0"/>
          <w:numId w:val="10"/>
        </w:numPr>
        <w:jc w:val="both"/>
        <w:rPr/>
      </w:pPr>
      <w:r>
        <w:rPr>
          <w:rFonts w:eastAsia="Arial" w:cs="Arial" w:ascii="Calibri" w:hAnsi="Calibri"/>
          <w:sz w:val="22"/>
          <w:szCs w:val="22"/>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19:</w:t>
      </w:r>
      <w:r>
        <w:rPr>
          <w:rFonts w:ascii="Calibri" w:hAnsi="Calibri"/>
          <w:b/>
          <w:bCs/>
          <w:sz w:val="22"/>
          <w:szCs w:val="22"/>
          <w:u w:val="single"/>
        </w:rPr>
        <w:t xml:space="preserve"> POUCZENIE O ŚRODKACH OCHRONY PRAWNEJ PRZYSŁUGUJĄCYCH WYKONAWCY</w:t>
      </w:r>
    </w:p>
    <w:p>
      <w:pPr>
        <w:pStyle w:val="Standard"/>
        <w:ind w:left="708" w:hanging="0"/>
        <w:jc w:val="both"/>
        <w:rPr/>
      </w:pPr>
      <w:r>
        <w:rPr>
          <w:rFonts w:ascii="Calibri" w:hAnsi="Calibri"/>
          <w:sz w:val="22"/>
          <w:szCs w:val="22"/>
        </w:rPr>
        <w:t>Środki ochrony prawnej określone w dziale IX Środki ochrony prawnej ustawy Prawo zamówień publicznych przysługują Wykonawcy oraz innemu podmiotowi, jeżeli ma lub miał interes w uzyskaniu zamówienia oraz poniósł lub może ponieść szkodę w wyniku naruszenia przez Zamawiającego przepisów ustawy Pzp.</w:t>
      </w:r>
    </w:p>
    <w:p>
      <w:pPr>
        <w:pStyle w:val="Standard"/>
        <w:ind w:left="708" w:hanging="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20:</w:t>
      </w:r>
      <w:r>
        <w:rPr>
          <w:rFonts w:ascii="Calibri" w:hAnsi="Calibri"/>
          <w:b/>
          <w:bCs/>
          <w:sz w:val="22"/>
          <w:szCs w:val="22"/>
          <w:u w:val="single"/>
        </w:rPr>
        <w:t xml:space="preserve"> PODSTAWY WYKLUCZENIA, O KTÓRYCH MOWA W ART. 109 UST. 1</w:t>
      </w:r>
    </w:p>
    <w:p>
      <w:pPr>
        <w:pStyle w:val="Standard"/>
        <w:jc w:val="both"/>
        <w:rPr/>
      </w:pPr>
      <w:r>
        <w:rPr>
          <w:rFonts w:ascii="Calibri" w:hAnsi="Calibri"/>
          <w:bCs/>
          <w:sz w:val="22"/>
          <w:szCs w:val="22"/>
        </w:rPr>
        <w:tab/>
        <w:t>Zamawiający nie przewiduje wykluczenia Wykonawcy na podstawie art. 109 ust. 1 ustawy Pzp.</w:t>
      </w:r>
    </w:p>
    <w:p>
      <w:pPr>
        <w:pStyle w:val="Standard"/>
        <w:jc w:val="both"/>
        <w:rPr/>
      </w:pPr>
      <w:r>
        <w:rPr/>
      </w:r>
    </w:p>
    <w:p>
      <w:pPr>
        <w:pStyle w:val="Standard"/>
        <w:jc w:val="both"/>
        <w:rPr/>
      </w:pPr>
      <w:r>
        <w:rPr>
          <w:rFonts w:ascii="Calibri" w:hAnsi="Calibri"/>
          <w:b/>
          <w:bCs/>
          <w:i/>
          <w:iCs/>
          <w:sz w:val="22"/>
          <w:szCs w:val="22"/>
          <w:u w:val="single"/>
        </w:rPr>
        <w:t>ROZDZIAŁ 21:</w:t>
      </w:r>
      <w:r>
        <w:rPr>
          <w:rFonts w:ascii="Calibri" w:hAnsi="Calibri"/>
          <w:b/>
          <w:bCs/>
          <w:sz w:val="22"/>
          <w:szCs w:val="22"/>
          <w:u w:val="single"/>
        </w:rPr>
        <w:t xml:space="preserve"> INFORMACJA O WARUNKACH UDZIAŁU W POSTĘPOWANIU</w:t>
      </w:r>
    </w:p>
    <w:p>
      <w:pPr>
        <w:pStyle w:val="Standard"/>
        <w:numPr>
          <w:ilvl w:val="0"/>
          <w:numId w:val="2"/>
        </w:numPr>
        <w:jc w:val="both"/>
        <w:rPr/>
      </w:pPr>
      <w:r>
        <w:rPr>
          <w:rFonts w:eastAsia="Arial" w:cs="Arial" w:ascii="Calibri" w:hAnsi="Calibri"/>
          <w:sz w:val="22"/>
          <w:szCs w:val="22"/>
        </w:rPr>
        <w:t>O udzielenie zamówienia mogą ubiegać się Wykonawcy, którzy:</w:t>
      </w:r>
    </w:p>
    <w:p>
      <w:pPr>
        <w:pStyle w:val="Standard"/>
        <w:numPr>
          <w:ilvl w:val="0"/>
          <w:numId w:val="3"/>
        </w:numPr>
        <w:jc w:val="both"/>
        <w:rPr/>
      </w:pPr>
      <w:r>
        <w:rPr>
          <w:rFonts w:eastAsia="Cambria, Cambria" w:cs="Cambria, Cambria" w:ascii="Calibri" w:hAnsi="Calibri"/>
          <w:color w:val="000000"/>
          <w:sz w:val="22"/>
          <w:szCs w:val="22"/>
        </w:rPr>
        <w:t xml:space="preserve">nie podlegają wykluczeniu na podstawie </w:t>
      </w:r>
      <w:r>
        <w:rPr>
          <w:rFonts w:eastAsia="Cambria, Cambria" w:cs="Cambria, Cambria" w:ascii="Calibri" w:hAnsi="Calibri"/>
          <w:sz w:val="22"/>
          <w:szCs w:val="22"/>
        </w:rPr>
        <w:t xml:space="preserve">art. 108 ust. 1 ustawy Pzp, </w:t>
      </w:r>
      <w:r>
        <w:rPr>
          <w:rFonts w:eastAsia="Arial" w:cs="Arial" w:ascii="Calibri" w:hAnsi="Calibri"/>
          <w:sz w:val="22"/>
          <w:szCs w:val="22"/>
        </w:rPr>
        <w:t xml:space="preserve">wzór oświadczenia stanowi </w:t>
      </w:r>
      <w:r>
        <w:rPr>
          <w:rFonts w:eastAsia="Arial" w:cs="Arial" w:ascii="Calibri" w:hAnsi="Calibri"/>
          <w:b/>
          <w:sz w:val="22"/>
          <w:szCs w:val="22"/>
        </w:rPr>
        <w:t>załącznik nr 3 do swz;</w:t>
      </w:r>
    </w:p>
    <w:p>
      <w:pPr>
        <w:pStyle w:val="Standard"/>
        <w:numPr>
          <w:ilvl w:val="0"/>
          <w:numId w:val="3"/>
        </w:numPr>
        <w:jc w:val="both"/>
        <w:rPr/>
      </w:pPr>
      <w:r>
        <w:rPr>
          <w:rFonts w:eastAsia="Arial" w:cs="Arial" w:ascii="Calibri" w:hAnsi="Calibri"/>
          <w:sz w:val="22"/>
          <w:szCs w:val="22"/>
        </w:rPr>
        <w:t xml:space="preserve">spełniają warunki udziału w postępowaniu, o których mowa w art. 112 ust. 2 ustawy Pzp, wzór oświadczenia stanowi </w:t>
      </w:r>
      <w:r>
        <w:rPr>
          <w:rFonts w:eastAsia="Arial" w:cs="Arial" w:ascii="Calibri" w:hAnsi="Calibri"/>
          <w:b/>
          <w:sz w:val="22"/>
          <w:szCs w:val="22"/>
        </w:rPr>
        <w:t>załącznik nr 4 do swz;</w:t>
      </w:r>
    </w:p>
    <w:p>
      <w:pPr>
        <w:pStyle w:val="Standard"/>
        <w:numPr>
          <w:ilvl w:val="0"/>
          <w:numId w:val="2"/>
        </w:numPr>
        <w:jc w:val="both"/>
        <w:rPr/>
      </w:pPr>
      <w:r>
        <w:rPr>
          <w:rFonts w:eastAsia="Arial" w:cs="Arial" w:ascii="Calibri" w:hAnsi="Calibri"/>
          <w:sz w:val="22"/>
          <w:szCs w:val="22"/>
        </w:rPr>
        <w:t>Warunki udziału w postępowaniu mogą dotyczyć:</w:t>
      </w:r>
    </w:p>
    <w:p>
      <w:pPr>
        <w:pStyle w:val="Standard"/>
        <w:numPr>
          <w:ilvl w:val="0"/>
          <w:numId w:val="4"/>
        </w:numPr>
        <w:jc w:val="both"/>
        <w:rPr/>
      </w:pPr>
      <w:r>
        <w:rPr>
          <w:rFonts w:eastAsia="Arial" w:cs="Arial" w:ascii="Calibri" w:hAnsi="Calibri"/>
          <w:sz w:val="22"/>
          <w:szCs w:val="22"/>
        </w:rPr>
        <w:t>zdolności do występowania w obrocie gospodarczym:</w:t>
      </w:r>
    </w:p>
    <w:p>
      <w:pPr>
        <w:pStyle w:val="Standard"/>
        <w:ind w:left="1080" w:hanging="0"/>
        <w:jc w:val="both"/>
        <w:rPr/>
      </w:pPr>
      <w:r>
        <w:rPr>
          <w:rFonts w:ascii="Calibri" w:hAnsi="Calibri"/>
          <w:sz w:val="22"/>
          <w:szCs w:val="22"/>
        </w:rPr>
        <w:t>Zamawiający nie stawia szczególnych wymagań w tym zakresie</w:t>
      </w:r>
      <w:r>
        <w:rPr>
          <w:rFonts w:eastAsia="Arial" w:cs="Arial" w:ascii="Calibri" w:hAnsi="Calibri"/>
          <w:sz w:val="22"/>
          <w:szCs w:val="22"/>
        </w:rPr>
        <w:t>,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uprawnień do prowadzenia określonej działalności gospodarczej lub zawodowej, o ile wynika to                         z odrębnych przepisów;</w:t>
      </w:r>
    </w:p>
    <w:p>
      <w:pPr>
        <w:pStyle w:val="Standard"/>
        <w:ind w:left="1080" w:hanging="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sytuacji ekonomicznej lub finansowej:</w:t>
      </w:r>
    </w:p>
    <w:p>
      <w:pPr>
        <w:pStyle w:val="Standard"/>
        <w:ind w:left="1080" w:hanging="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zdolności technicznej lub zawodowej:</w:t>
        <w:tab/>
      </w:r>
    </w:p>
    <w:p>
      <w:pPr>
        <w:pStyle w:val="Standard"/>
        <w:ind w:left="1080" w:hanging="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2"/>
        </w:numPr>
        <w:jc w:val="both"/>
        <w:rPr/>
      </w:pPr>
      <w:r>
        <w:rPr>
          <w:rFonts w:eastAsia="Arial" w:cs="Arial" w:ascii="Calibri" w:hAnsi="Calibri"/>
          <w:sz w:val="22"/>
          <w:szCs w:val="22"/>
        </w:rPr>
        <w:t xml:space="preserve">Zamawiający dokona oceny, czy Wykonawca nie podlega wykluczeniu oraz spełnia warunki udziału                   w postępowaniu na podstawie złożonych wraz z ofertą oświadczeń stanowiących </w:t>
      </w:r>
      <w:r>
        <w:rPr>
          <w:rFonts w:eastAsia="Arial" w:cs="Arial" w:ascii="Calibri" w:hAnsi="Calibri"/>
          <w:b/>
          <w:sz w:val="22"/>
          <w:szCs w:val="22"/>
        </w:rPr>
        <w:t>załączniki nr 3 i 4 do swz.</w:t>
      </w:r>
    </w:p>
    <w:p>
      <w:pPr>
        <w:pStyle w:val="Normal"/>
        <w:numPr>
          <w:ilvl w:val="0"/>
          <w:numId w:val="2"/>
        </w:numPr>
        <w:jc w:val="both"/>
        <w:rPr/>
      </w:pPr>
      <w:r>
        <w:rPr>
          <w:rFonts w:eastAsia="Arial" w:cs="Arial" w:ascii="Calibri" w:hAnsi="Calibri"/>
          <w:sz w:val="22"/>
          <w:szCs w:val="22"/>
        </w:rPr>
        <w:t>Ocena spełnienia przez Wykonawców warunków, o których mowa w ust. 3 będzie dokonana na podstawie treści wymaganych oświadczeń i dokumentów według formuły „spełnia/nie spełnia”.</w:t>
      </w:r>
    </w:p>
    <w:p>
      <w:pPr>
        <w:pStyle w:val="Normal"/>
        <w:numPr>
          <w:ilvl w:val="0"/>
          <w:numId w:val="2"/>
        </w:numPr>
        <w:jc w:val="both"/>
        <w:rPr/>
      </w:pPr>
      <w:r>
        <w:rPr>
          <w:rFonts w:eastAsia="Arial" w:cs="Arial" w:ascii="Calibri" w:hAnsi="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Normal"/>
        <w:numPr>
          <w:ilvl w:val="0"/>
          <w:numId w:val="2"/>
        </w:numPr>
        <w:jc w:val="both"/>
        <w:rPr/>
      </w:pPr>
      <w:r>
        <w:rPr>
          <w:rFonts w:eastAsia="Arial" w:cs="Arial" w:ascii="Calibri" w:hAnsi="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Standard"/>
        <w:numPr>
          <w:ilvl w:val="0"/>
          <w:numId w:val="2"/>
        </w:numPr>
        <w:jc w:val="both"/>
        <w:rPr/>
      </w:pPr>
      <w:r>
        <w:rPr>
          <w:rFonts w:eastAsia="Arial" w:cs="Arial" w:ascii="Calibri" w:hAnsi="Calibri"/>
          <w:sz w:val="22"/>
          <w:szCs w:val="22"/>
        </w:rPr>
        <w:t>Wykonawcy mogą wspólnie ubiegać się o udzielenie zamówienia.</w:t>
      </w:r>
    </w:p>
    <w:p>
      <w:pPr>
        <w:pStyle w:val="Standard"/>
        <w:numPr>
          <w:ilvl w:val="0"/>
          <w:numId w:val="2"/>
        </w:numPr>
        <w:jc w:val="both"/>
        <w:rPr/>
      </w:pPr>
      <w:r>
        <w:rPr>
          <w:rFonts w:eastAsia="Arial" w:cs="Arial" w:ascii="Calibri" w:hAnsi="Calibri"/>
          <w:sz w:val="22"/>
          <w:szCs w:val="22"/>
        </w:rPr>
        <w:t>W przypadku, o którym mowa w ust. 5, Wykonawcy ustanawiają pełnomocnika do reprezentowania ich                    w postępowaniu o udzielenie zamówienia albo do reprezentowania w postępowaniu i do zawarcia umowy                     w sprawie zamówienia publicznego.</w:t>
      </w:r>
    </w:p>
    <w:p>
      <w:pPr>
        <w:pStyle w:val="Standard"/>
        <w:numPr>
          <w:ilvl w:val="0"/>
          <w:numId w:val="2"/>
        </w:numPr>
        <w:jc w:val="both"/>
        <w:rPr/>
      </w:pPr>
      <w:r>
        <w:rPr>
          <w:rFonts w:eastAsia="Arial" w:cs="Arial" w:ascii="Calibri" w:hAnsi="Calibri"/>
          <w:sz w:val="22"/>
          <w:szCs w:val="22"/>
        </w:rPr>
        <w:t>Wykonawcy wspólnie ubiegający się o udzielenie zamówienia ponoszą solidarną odpowiedzialność za wykonanie umowy.</w:t>
      </w:r>
    </w:p>
    <w:p>
      <w:pPr>
        <w:pStyle w:val="Standard"/>
        <w:numPr>
          <w:ilvl w:val="0"/>
          <w:numId w:val="2"/>
        </w:numPr>
        <w:jc w:val="both"/>
        <w:rPr/>
      </w:pPr>
      <w:r>
        <w:rPr>
          <w:rFonts w:eastAsia="Arial" w:cs="Arial" w:ascii="Calibri" w:hAnsi="Calibri"/>
          <w:sz w:val="22"/>
          <w:szCs w:val="22"/>
        </w:rPr>
        <w:t xml:space="preserve">Stosownie do postanowień art. 59 ustawy Pzp, jeżeli zostanie wybrana oferta Wykonawców wspólnie ubiegających się o udzielenie zamówienia, Zamawiający będzie żądał przed zawarciem umowy w sprawie </w:t>
      </w:r>
      <w:r>
        <w:rPr>
          <w:rFonts w:eastAsia="Arial" w:cs="Arial" w:ascii="Calibri" w:hAnsi="Calibri"/>
          <w:sz w:val="22"/>
          <w:szCs w:val="22"/>
        </w:rPr>
        <w:t>09</w:t>
      </w:r>
      <w:r>
        <w:rPr>
          <w:rFonts w:eastAsia="Arial" w:cs="Arial" w:ascii="Calibri" w:hAnsi="Calibri"/>
          <w:sz w:val="22"/>
          <w:szCs w:val="22"/>
        </w:rPr>
        <w:t xml:space="preserve">zamówienia publicznego kopii umowy regulującej współpracę tych Wykonawców. </w:t>
      </w:r>
    </w:p>
    <w:p>
      <w:pPr>
        <w:pStyle w:val="Standard"/>
        <w:jc w:val="both"/>
        <w:rPr>
          <w:rFonts w:ascii="Calibri" w:hAnsi="Calibri" w:eastAsia="Arial" w:cs="Arial"/>
          <w:b/>
          <w:b/>
          <w:bCs/>
          <w:sz w:val="22"/>
          <w:szCs w:val="22"/>
        </w:rPr>
      </w:pPr>
      <w:r>
        <w:rPr>
          <w:rFonts w:eastAsia="Arial" w:cs="Arial" w:ascii="Calibri" w:hAnsi="Calibri"/>
          <w:b/>
          <w:bCs/>
          <w:sz w:val="22"/>
          <w:szCs w:val="22"/>
        </w:rPr>
      </w:r>
    </w:p>
    <w:p>
      <w:pPr>
        <w:pStyle w:val="Standard"/>
        <w:jc w:val="both"/>
        <w:rPr/>
      </w:pPr>
      <w:r>
        <w:rPr>
          <w:rFonts w:ascii="Calibri" w:hAnsi="Calibri"/>
          <w:b/>
          <w:bCs/>
          <w:i/>
          <w:iCs/>
          <w:sz w:val="22"/>
          <w:szCs w:val="22"/>
          <w:u w:val="single"/>
        </w:rPr>
        <w:t>ROZDZIAŁ 22:</w:t>
      </w:r>
      <w:r>
        <w:rPr>
          <w:rFonts w:ascii="Calibri" w:hAnsi="Calibri"/>
          <w:b/>
          <w:bCs/>
          <w:sz w:val="22"/>
          <w:szCs w:val="22"/>
          <w:u w:val="single"/>
        </w:rPr>
        <w:t xml:space="preserve"> INFORMACJE O PODMIOTOWYCH ŚRODKACH DOWODOWYCH, JAKIE MAJĄ DOSTARCZYĆ WYKONAWCY W CELU POTWIERDZENIA SPEŁNIANIA WARUNKÓW UDZIAŁU W POSTĘPOWANIU ORAZ POTWIERDZENIA BRAKU PODSTAW WYKLUCZENIA WYKONAWCY </w:t>
      </w:r>
    </w:p>
    <w:p>
      <w:pPr>
        <w:pStyle w:val="Standard"/>
        <w:numPr>
          <w:ilvl w:val="0"/>
          <w:numId w:val="21"/>
        </w:numPr>
        <w:jc w:val="both"/>
        <w:rPr/>
      </w:pPr>
      <w:r>
        <w:rPr>
          <w:rFonts w:asciiTheme="minorHAnsi" w:hAnsiTheme="minorHAnsi"/>
          <w:sz w:val="22"/>
          <w:szCs w:val="22"/>
        </w:rPr>
        <w:t>Zamawiający wezwie Wykonawcę, którego oferta została najwyżej oceniona, do złożenia w wyznaczonym terminie, nie krótszym niż 5 dni od dnia wezwania podmiotowych środków dowodowych, aktualnych na dzień ich złożenia tj.:</w:t>
      </w:r>
    </w:p>
    <w:p>
      <w:pPr>
        <w:pStyle w:val="Standard"/>
        <w:numPr>
          <w:ilvl w:val="0"/>
          <w:numId w:val="31"/>
        </w:numPr>
        <w:jc w:val="both"/>
        <w:rPr/>
      </w:pPr>
      <w:r>
        <w:rPr>
          <w:rFonts w:asciiTheme="minorHAnsi" w:hAnsiTheme="minorHAnsi"/>
          <w:sz w:val="22"/>
          <w:szCs w:val="22"/>
        </w:rPr>
        <w:t xml:space="preserve">oświadczenie Wykonawcy w zakresie art. 108 ust. 1 pkt 5 ustawy Pzp, dotyczące przynależności lub braku przynależności do tej samej grupy kapitałowej, w rozumieniu ustawy z dnia 16 lutego 2007 r. o ochronie konkurencji i konsumentów (t.j. Dz. U. z 2023, poz. 1689, 1705 z poź. zm. ) – wzór oświadczenia stanowi </w:t>
      </w:r>
      <w:r>
        <w:rPr>
          <w:rFonts w:asciiTheme="minorHAnsi" w:hAnsiTheme="minorHAnsi"/>
          <w:b/>
          <w:sz w:val="22"/>
          <w:szCs w:val="22"/>
        </w:rPr>
        <w:t>załącznik nr 5 do swz</w:t>
      </w:r>
      <w:r>
        <w:rPr>
          <w:rFonts w:asciiTheme="minorHAnsi" w:hAnsiTheme="minorHAnsi"/>
          <w:sz w:val="22"/>
          <w:szCs w:val="22"/>
        </w:rPr>
        <w:t xml:space="preserve"> (Wykonawcy wspólnie ubiegający się o udzielenie zamówienia muszą wykazać, że łącznie spełniają w/w warunki).</w:t>
      </w:r>
    </w:p>
    <w:p>
      <w:pPr>
        <w:pStyle w:val="Normal"/>
        <w:numPr>
          <w:ilvl w:val="0"/>
          <w:numId w:val="21"/>
        </w:numPr>
        <w:jc w:val="both"/>
        <w:rPr/>
      </w:pPr>
      <w:r>
        <w:rPr>
          <w:rFonts w:eastAsia="Arial" w:cs="Arial" w:ascii="Calibri" w:hAnsi="Calibr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pPr>
        <w:pStyle w:val="Standard"/>
        <w:numPr>
          <w:ilvl w:val="0"/>
          <w:numId w:val="21"/>
        </w:numPr>
        <w:jc w:val="both"/>
        <w:rPr/>
      </w:pPr>
      <w:r>
        <w:rPr>
          <w:rFonts w:eastAsia="Arial" w:cs="Arial" w:ascii="Calibri" w:hAnsi="Calibri"/>
          <w:sz w:val="22"/>
          <w:szCs w:val="22"/>
        </w:rPr>
        <w:t>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w:t>
      </w:r>
    </w:p>
    <w:p>
      <w:pPr>
        <w:pStyle w:val="Standard"/>
        <w:jc w:val="both"/>
        <w:rPr>
          <w:rFonts w:ascii="Calibri" w:hAnsi="Calibri" w:eastAsia="Arial" w:cs="Arial"/>
          <w:b/>
          <w:b/>
          <w:bCs/>
          <w:sz w:val="22"/>
          <w:szCs w:val="22"/>
        </w:rPr>
      </w:pPr>
      <w:r>
        <w:rPr>
          <w:rFonts w:eastAsia="Arial" w:cs="Arial" w:ascii="Calibri" w:hAnsi="Calibri"/>
          <w:b/>
          <w:bCs/>
          <w:sz w:val="22"/>
          <w:szCs w:val="22"/>
        </w:rPr>
      </w:r>
    </w:p>
    <w:p>
      <w:pPr>
        <w:pStyle w:val="Standard"/>
        <w:jc w:val="both"/>
        <w:rPr/>
      </w:pPr>
      <w:r>
        <w:rPr>
          <w:rFonts w:ascii="Calibri" w:hAnsi="Calibri"/>
          <w:b/>
          <w:bCs/>
          <w:i/>
          <w:iCs/>
          <w:sz w:val="22"/>
          <w:szCs w:val="22"/>
          <w:u w:val="single"/>
        </w:rPr>
        <w:t>ROZDZIAŁ 23:</w:t>
      </w:r>
      <w:r>
        <w:rPr>
          <w:rFonts w:ascii="Calibri" w:hAnsi="Calibri"/>
          <w:b/>
          <w:bCs/>
          <w:sz w:val="22"/>
          <w:szCs w:val="22"/>
          <w:u w:val="single"/>
        </w:rPr>
        <w:t xml:space="preserve"> OPIS CZĘŚCI ZAMÓWIENIA </w:t>
      </w:r>
    </w:p>
    <w:p>
      <w:pPr>
        <w:pStyle w:val="Standard"/>
        <w:ind w:firstLine="708"/>
        <w:jc w:val="both"/>
        <w:rPr/>
      </w:pPr>
      <w:r>
        <w:rPr>
          <w:rFonts w:ascii="Calibri" w:hAnsi="Calibri"/>
          <w:sz w:val="22"/>
          <w:szCs w:val="22"/>
        </w:rPr>
        <w:t>Zamawiający nie dopuszcza składania ofert częściowych.</w:t>
      </w:r>
    </w:p>
    <w:p>
      <w:pPr>
        <w:pStyle w:val="Standard"/>
        <w:ind w:left="1068" w:hanging="0"/>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24:</w:t>
      </w:r>
      <w:r>
        <w:rPr>
          <w:rFonts w:ascii="Calibri" w:hAnsi="Calibri"/>
          <w:b/>
          <w:bCs/>
          <w:sz w:val="22"/>
          <w:szCs w:val="22"/>
          <w:u w:val="single"/>
        </w:rPr>
        <w:t xml:space="preserve"> INFORMACJE DOTYCZĄCE OFERT WARIANTOWYCH</w:t>
      </w:r>
    </w:p>
    <w:p>
      <w:pPr>
        <w:pStyle w:val="Standard"/>
        <w:ind w:firstLine="708"/>
        <w:jc w:val="both"/>
        <w:rPr/>
      </w:pPr>
      <w:r>
        <w:rPr>
          <w:rFonts w:ascii="Calibri" w:hAnsi="Calibri"/>
          <w:sz w:val="22"/>
          <w:szCs w:val="22"/>
        </w:rPr>
        <w:t>Zamawiający nie dopuszcza możliwości składania ofert wariantowych.</w:t>
      </w:r>
    </w:p>
    <w:p>
      <w:pPr>
        <w:pStyle w:val="Standard"/>
        <w:ind w:firstLine="708"/>
        <w:jc w:val="both"/>
        <w:rPr>
          <w:rFonts w:ascii="Calibri" w:hAnsi="Calibri"/>
          <w:sz w:val="22"/>
          <w:szCs w:val="22"/>
        </w:rPr>
      </w:pPr>
      <w:r>
        <w:rPr>
          <w:rFonts w:ascii="Calibri" w:hAnsi="Calibri"/>
          <w:sz w:val="22"/>
          <w:szCs w:val="22"/>
        </w:rPr>
      </w:r>
    </w:p>
    <w:p>
      <w:pPr>
        <w:pStyle w:val="Standard"/>
        <w:ind w:firstLine="708"/>
        <w:jc w:val="both"/>
        <w:rPr/>
      </w:pPr>
      <w:r>
        <w:rPr/>
      </w:r>
    </w:p>
    <w:p>
      <w:pPr>
        <w:pStyle w:val="Standard"/>
        <w:jc w:val="both"/>
        <w:rPr/>
      </w:pPr>
      <w:r>
        <w:rPr>
          <w:rFonts w:ascii="Calibri" w:hAnsi="Calibri"/>
          <w:b/>
          <w:bCs/>
          <w:i/>
          <w:iCs/>
          <w:sz w:val="22"/>
          <w:szCs w:val="22"/>
          <w:u w:val="single"/>
        </w:rPr>
        <w:t>ROZDZIAŁ 25:</w:t>
      </w:r>
      <w:r>
        <w:rPr>
          <w:rFonts w:ascii="Calibri" w:hAnsi="Calibri"/>
          <w:b/>
          <w:bCs/>
          <w:sz w:val="22"/>
          <w:szCs w:val="22"/>
          <w:u w:val="single"/>
        </w:rPr>
        <w:t xml:space="preserve"> WYMAGANIA W ZAKRESIE</w:t>
      </w:r>
      <w:bookmarkStart w:id="6" w:name="_GoBack"/>
      <w:bookmarkEnd w:id="6"/>
      <w:r>
        <w:rPr>
          <w:rFonts w:ascii="Calibri" w:hAnsi="Calibri"/>
          <w:b/>
          <w:bCs/>
          <w:sz w:val="22"/>
          <w:szCs w:val="22"/>
          <w:u w:val="single"/>
        </w:rPr>
        <w:t xml:space="preserve"> ZATRUDNIENIA OSÓB, O KTÓRYCH MOWA W ART. 96 UST. 2 PKT 2</w:t>
      </w:r>
    </w:p>
    <w:p>
      <w:pPr>
        <w:pStyle w:val="Standard"/>
        <w:ind w:left="708" w:hanging="0"/>
        <w:jc w:val="both"/>
        <w:rPr/>
      </w:pPr>
      <w:r>
        <w:rPr>
          <w:rFonts w:ascii="Calibri" w:hAnsi="Calibri"/>
          <w:sz w:val="22"/>
          <w:szCs w:val="22"/>
        </w:rPr>
        <w:t>Zamawiający nie określa wymagań związanych z realizacją zamówienia, o których mowa w art. 96 ust. 2 pkt 2 ustawy Pzp.</w:t>
      </w:r>
    </w:p>
    <w:p>
      <w:pPr>
        <w:pStyle w:val="Standard"/>
        <w:ind w:firstLine="708"/>
        <w:jc w:val="both"/>
        <w:rPr>
          <w:sz w:val="22"/>
          <w:szCs w:val="22"/>
        </w:rPr>
      </w:pPr>
      <w:r>
        <w:rPr>
          <w:sz w:val="22"/>
          <w:szCs w:val="22"/>
        </w:rPr>
      </w:r>
    </w:p>
    <w:p>
      <w:pPr>
        <w:pStyle w:val="Standard"/>
        <w:jc w:val="both"/>
        <w:rPr/>
      </w:pPr>
      <w:r>
        <w:rPr>
          <w:rFonts w:ascii="Calibri" w:hAnsi="Calibri"/>
          <w:b/>
          <w:bCs/>
          <w:i/>
          <w:iCs/>
          <w:sz w:val="22"/>
          <w:szCs w:val="22"/>
          <w:u w:val="single"/>
        </w:rPr>
        <w:t>ROZDZIAŁ 26:</w:t>
      </w:r>
      <w:r>
        <w:rPr>
          <w:rFonts w:ascii="Calibri" w:hAnsi="Calibri"/>
          <w:b/>
          <w:bCs/>
          <w:sz w:val="22"/>
          <w:szCs w:val="22"/>
          <w:u w:val="single"/>
        </w:rPr>
        <w:t xml:space="preserve"> INFORMACJA O ZASTRZEŻENIU MOZLIWOŚCI UBIEGANIA SIĘ O UDZIELENIE ZAMÓWIENIA WYŁĄCZNIE PRZEZ WYKONAWCÓW, O KTÓRYCH MOWA W ART. 94</w:t>
      </w:r>
    </w:p>
    <w:p>
      <w:pPr>
        <w:pStyle w:val="Standard"/>
        <w:ind w:left="708" w:hanging="0"/>
        <w:jc w:val="both"/>
        <w:rPr/>
      </w:pPr>
      <w:r>
        <w:rPr>
          <w:rFonts w:ascii="Calibri" w:hAnsi="Calibri"/>
          <w:sz w:val="22"/>
          <w:szCs w:val="22"/>
        </w:rPr>
        <w:t>Zamawiający nie zastrzega możliwości ubiegania się o udzielenie zamówienia wyłącznie Wykonawców,                     o których mowa w art. 94 ustawy Pzp.</w:t>
      </w:r>
    </w:p>
    <w:p>
      <w:pPr>
        <w:pStyle w:val="Standard"/>
        <w:ind w:left="708" w:hanging="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27:</w:t>
      </w:r>
      <w:r>
        <w:rPr>
          <w:rFonts w:ascii="Calibri" w:hAnsi="Calibri"/>
          <w:b/>
          <w:bCs/>
          <w:sz w:val="22"/>
          <w:szCs w:val="22"/>
          <w:u w:val="single"/>
        </w:rPr>
        <w:t xml:space="preserve"> WYMAGANIA DOTYCZĄCE WADIUM</w:t>
      </w:r>
    </w:p>
    <w:p>
      <w:pPr>
        <w:pStyle w:val="Standard"/>
        <w:ind w:left="708" w:hanging="0"/>
        <w:jc w:val="both"/>
        <w:rPr/>
      </w:pPr>
      <w:r>
        <w:rPr>
          <w:rFonts w:ascii="Calibri" w:hAnsi="Calibri"/>
          <w:sz w:val="22"/>
          <w:szCs w:val="22"/>
        </w:rPr>
        <w:t>Zamawiający nie wymaga od Wykonawców wniesienia wadium.</w:t>
      </w:r>
    </w:p>
    <w:p>
      <w:pPr>
        <w:pStyle w:val="Standard"/>
        <w:jc w:val="both"/>
        <w:rPr>
          <w:sz w:val="22"/>
          <w:szCs w:val="22"/>
        </w:rPr>
      </w:pPr>
      <w:r>
        <w:rPr>
          <w:sz w:val="22"/>
          <w:szCs w:val="22"/>
        </w:rPr>
      </w:r>
    </w:p>
    <w:p>
      <w:pPr>
        <w:pStyle w:val="Standard"/>
        <w:jc w:val="both"/>
        <w:rPr/>
      </w:pPr>
      <w:r>
        <w:rPr>
          <w:rFonts w:ascii="Calibri" w:hAnsi="Calibri"/>
          <w:b/>
          <w:bCs/>
          <w:i/>
          <w:iCs/>
          <w:sz w:val="22"/>
          <w:szCs w:val="22"/>
          <w:u w:val="single"/>
        </w:rPr>
        <w:t>ROZDZIAŁ 28:</w:t>
      </w:r>
      <w:r>
        <w:rPr>
          <w:rFonts w:ascii="Calibri" w:hAnsi="Calibri"/>
          <w:b/>
          <w:bCs/>
          <w:sz w:val="22"/>
          <w:szCs w:val="22"/>
          <w:u w:val="single"/>
        </w:rPr>
        <w:t xml:space="preserve"> INFORMACJE O PRZEWIDYWANYCH ZAMÓWIENIACH, O KTÓRYCH MOWA W ART. 214 UST. 1 PKT 7 i 8</w:t>
      </w:r>
    </w:p>
    <w:p>
      <w:pPr>
        <w:pStyle w:val="Standard"/>
        <w:ind w:left="708" w:hanging="0"/>
        <w:jc w:val="both"/>
        <w:rPr/>
      </w:pPr>
      <w:r>
        <w:rPr>
          <w:rFonts w:ascii="Calibri" w:hAnsi="Calibri"/>
          <w:sz w:val="22"/>
          <w:szCs w:val="22"/>
        </w:rPr>
        <w:t>Zamawiający nie przewiduje możliwości udzielenia zamówień w trybie z wolnej ręki, o których mowa w art. 214 ust. 1 pkt 7 i 8 ustawy Pzp.</w:t>
      </w:r>
    </w:p>
    <w:p>
      <w:pPr>
        <w:pStyle w:val="Standard"/>
        <w:ind w:left="708" w:hanging="0"/>
        <w:jc w:val="both"/>
        <w:rPr>
          <w:sz w:val="22"/>
          <w:szCs w:val="22"/>
        </w:rPr>
      </w:pPr>
      <w:r>
        <w:rPr>
          <w:sz w:val="22"/>
          <w:szCs w:val="22"/>
        </w:rPr>
      </w:r>
    </w:p>
    <w:p>
      <w:pPr>
        <w:pStyle w:val="Standard"/>
        <w:jc w:val="both"/>
        <w:rPr/>
      </w:pPr>
      <w:r>
        <w:rPr>
          <w:rFonts w:ascii="Calibri" w:hAnsi="Calibri"/>
          <w:b/>
          <w:bCs/>
          <w:i/>
          <w:iCs/>
          <w:sz w:val="22"/>
          <w:szCs w:val="22"/>
          <w:u w:val="single"/>
        </w:rPr>
        <w:t>ROZDZIAŁ 29:</w:t>
      </w:r>
      <w:r>
        <w:rPr>
          <w:rFonts w:ascii="Calibri" w:hAnsi="Calibri"/>
          <w:b/>
          <w:bCs/>
          <w:sz w:val="22"/>
          <w:szCs w:val="22"/>
          <w:u w:val="single"/>
        </w:rPr>
        <w:t xml:space="preserve"> INFORMACJE DOTYCZĄCE PRZEPROWADZENIA PRZEZ WYKONAWCĘ WIZJI LOKALNEJ LUB SPRAWDZENIA PRZEZ NIEGO DOKUMENTÓW NIEZBĘDNYCH  DO REALIZACJI ZAMÓWIENIA, O KTÓRYCH MOWA              W ART. 131 UST. 2</w:t>
      </w:r>
    </w:p>
    <w:p>
      <w:pPr>
        <w:pStyle w:val="Standard"/>
        <w:ind w:left="708" w:hanging="0"/>
        <w:jc w:val="both"/>
        <w:rPr/>
      </w:pPr>
      <w:r>
        <w:rPr>
          <w:rFonts w:ascii="Calibri" w:hAnsi="Calibri"/>
          <w:sz w:val="22"/>
          <w:szCs w:val="22"/>
        </w:rPr>
        <w:t>Zamawiający nie przewiduje możliwości przeprowadzenia przez Wykonawcę wizji lokalnej lub sprawdzenia przez niego dokumentów niezbędnych do realizacji zamówienia, o których mowa w art. 131 ust. 2 ustawy Pzp.</w:t>
      </w:r>
    </w:p>
    <w:p>
      <w:pPr>
        <w:pStyle w:val="Standard"/>
        <w:ind w:left="708" w:hanging="0"/>
        <w:jc w:val="both"/>
        <w:rPr/>
      </w:pPr>
      <w:r>
        <w:rPr/>
      </w:r>
    </w:p>
    <w:p>
      <w:pPr>
        <w:pStyle w:val="Standard"/>
        <w:jc w:val="both"/>
        <w:rPr/>
      </w:pPr>
      <w:r>
        <w:rPr>
          <w:rFonts w:ascii="Calibri" w:hAnsi="Calibri"/>
          <w:b/>
          <w:bCs/>
          <w:i/>
          <w:iCs/>
          <w:sz w:val="22"/>
          <w:szCs w:val="22"/>
          <w:u w:val="single"/>
        </w:rPr>
        <w:t>ROZDZIAŁ 30:</w:t>
      </w:r>
      <w:r>
        <w:rPr>
          <w:rFonts w:ascii="Calibri" w:hAnsi="Calibri"/>
          <w:b/>
          <w:bCs/>
          <w:sz w:val="22"/>
          <w:szCs w:val="22"/>
          <w:u w:val="single"/>
        </w:rPr>
        <w:t xml:space="preserve"> INFORMACJE DOTYCZĄCE WALUT OBCYCH, W JAKICH MOGĄ BYĆ PROWADZONE ROZLICZENIA MIĘDZY ZAMAWIAJĄCYM A WYKONAWCĄ</w:t>
      </w:r>
    </w:p>
    <w:p>
      <w:pPr>
        <w:pStyle w:val="Standard"/>
        <w:ind w:firstLine="708"/>
        <w:jc w:val="both"/>
        <w:rPr/>
      </w:pPr>
      <w:r>
        <w:rPr>
          <w:rFonts w:ascii="Calibri" w:hAnsi="Calibri"/>
          <w:sz w:val="22"/>
          <w:szCs w:val="22"/>
        </w:rPr>
        <w:t>Zamawiający nie przewiduje rozliczeń w walutach obcych.</w:t>
      </w:r>
    </w:p>
    <w:p>
      <w:pPr>
        <w:pStyle w:val="Standard"/>
        <w:ind w:left="1068" w:hanging="0"/>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31:</w:t>
      </w:r>
      <w:r>
        <w:rPr>
          <w:rFonts w:ascii="Calibri" w:hAnsi="Calibri"/>
          <w:b/>
          <w:bCs/>
          <w:sz w:val="22"/>
          <w:szCs w:val="22"/>
          <w:u w:val="single"/>
        </w:rPr>
        <w:t xml:space="preserve"> INFORMACJE DOTYCZĄCE ZWROTU KOSZTÓW UDZIAŁU W POSTĘPOWANIU</w:t>
      </w:r>
    </w:p>
    <w:p>
      <w:pPr>
        <w:pStyle w:val="Standard"/>
        <w:ind w:firstLine="708"/>
        <w:jc w:val="both"/>
        <w:rPr/>
      </w:pPr>
      <w:r>
        <w:rPr>
          <w:rFonts w:ascii="Calibri" w:hAnsi="Calibri"/>
          <w:sz w:val="22"/>
          <w:szCs w:val="22"/>
        </w:rPr>
        <w:t>Zamawiający nie przewiduje zwrotu kosztów udziału w postępowaniu, z zastrzeżeniem art. 261 ustawy Pzp.</w:t>
      </w:r>
    </w:p>
    <w:p>
      <w:pPr>
        <w:pStyle w:val="Standard"/>
        <w:ind w:left="1068" w:hanging="0"/>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32:</w:t>
      </w:r>
      <w:r>
        <w:rPr>
          <w:rFonts w:ascii="Calibri" w:hAnsi="Calibri"/>
          <w:b/>
          <w:bCs/>
          <w:sz w:val="22"/>
          <w:szCs w:val="22"/>
          <w:u w:val="single"/>
        </w:rPr>
        <w:t xml:space="preserve"> INFORMACJE O OBOWIĄZKU OSOBISTEGO WYKONANIA PRZEZ WYKONAWCĘ KLUCZOWYCH ZADAŃ, ZGODNIE Z ART. 60 i ART. 121</w:t>
      </w:r>
    </w:p>
    <w:p>
      <w:pPr>
        <w:pStyle w:val="Standard"/>
        <w:ind w:left="708" w:hanging="0"/>
        <w:jc w:val="both"/>
        <w:rPr/>
      </w:pPr>
      <w:r>
        <w:rPr>
          <w:rFonts w:ascii="Calibri" w:hAnsi="Calibri"/>
          <w:sz w:val="22"/>
          <w:szCs w:val="22"/>
        </w:rPr>
        <w:t xml:space="preserve">Zamawiający nie zastrzega obowiązku osobistego wykonania przez Wykonawcę kluczowych zadań.  </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33:</w:t>
      </w:r>
      <w:r>
        <w:rPr>
          <w:rFonts w:ascii="Calibri" w:hAnsi="Calibri"/>
          <w:b/>
          <w:bCs/>
          <w:sz w:val="22"/>
          <w:szCs w:val="22"/>
          <w:u w:val="single"/>
        </w:rPr>
        <w:t xml:space="preserve"> MAKSYMALNA LICZBA WYKONAWCÓW, Z KTÓRYMI ZAMAWIAJĄCY ZAWRZE UMOWĘ RAMOWĄ </w:t>
      </w:r>
    </w:p>
    <w:p>
      <w:pPr>
        <w:pStyle w:val="Standard"/>
        <w:ind w:left="708" w:hanging="0"/>
        <w:jc w:val="both"/>
        <w:rPr/>
      </w:pPr>
      <w:r>
        <w:rPr>
          <w:rFonts w:ascii="Calibri" w:hAnsi="Calibri"/>
          <w:sz w:val="22"/>
          <w:szCs w:val="22"/>
        </w:rPr>
        <w:t>Zamawiający nie przewiduje zawarcia umowy ramowej.</w:t>
      </w:r>
    </w:p>
    <w:p>
      <w:pPr>
        <w:pStyle w:val="Standard"/>
        <w:ind w:left="708" w:hanging="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34:</w:t>
      </w:r>
      <w:r>
        <w:rPr>
          <w:rFonts w:ascii="Calibri" w:hAnsi="Calibri"/>
          <w:b/>
          <w:bCs/>
          <w:sz w:val="22"/>
          <w:szCs w:val="22"/>
          <w:u w:val="single"/>
        </w:rPr>
        <w:t xml:space="preserve"> INFORMACJA O PRZEWIDYWANYM WYBORZE NAJKORZYSTNIEJSZEJ OFERTY Z ZASTOSOWANIEM AUKCJI ELEKTRONICZNEJ WRAZ Z INFORMACJAMI, O KTÓRYCH MOWA W ART. 230  </w:t>
      </w:r>
    </w:p>
    <w:p>
      <w:pPr>
        <w:pStyle w:val="Standard"/>
        <w:ind w:left="708" w:hanging="0"/>
        <w:jc w:val="both"/>
        <w:rPr/>
      </w:pPr>
      <w:r>
        <w:rPr>
          <w:rFonts w:ascii="Calibri" w:hAnsi="Calibri"/>
          <w:sz w:val="22"/>
          <w:szCs w:val="22"/>
        </w:rPr>
        <w:t>Zamawiający nie przewiduje zastosowania aukcji elektronicznej.</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35:</w:t>
      </w:r>
      <w:r>
        <w:rPr>
          <w:rFonts w:ascii="Calibri" w:hAnsi="Calibri"/>
          <w:b/>
          <w:bCs/>
          <w:sz w:val="22"/>
          <w:szCs w:val="22"/>
          <w:u w:val="single"/>
        </w:rPr>
        <w:t xml:space="preserve"> WYMÓG LUB MOŻLIWOŚĆ ZŁOŻENIA OFERT W POSTACI KATALOGÓW ELEKTRONICZNYCH LUB DOŁĄCZENIA KATALOGÓW ELEKTRONICZNYCH DO OFERTY, ZGODNIE Z ART. 93</w:t>
      </w:r>
    </w:p>
    <w:p>
      <w:pPr>
        <w:pStyle w:val="Standard"/>
        <w:ind w:left="708" w:hanging="0"/>
        <w:jc w:val="both"/>
        <w:rPr/>
      </w:pPr>
      <w:r>
        <w:rPr>
          <w:rFonts w:ascii="Calibri" w:hAnsi="Calibri"/>
          <w:sz w:val="22"/>
          <w:szCs w:val="22"/>
        </w:rPr>
        <w:t>Zamawiający nie wymaga złożenia oferty w postaci katalogu elektronicznego.</w:t>
      </w:r>
    </w:p>
    <w:p>
      <w:pPr>
        <w:pStyle w:val="Standard"/>
        <w:ind w:left="1068" w:hanging="0"/>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36:</w:t>
      </w:r>
      <w:r>
        <w:rPr>
          <w:rFonts w:ascii="Calibri" w:hAnsi="Calibri"/>
          <w:b/>
          <w:bCs/>
          <w:sz w:val="22"/>
          <w:szCs w:val="22"/>
          <w:u w:val="single"/>
        </w:rPr>
        <w:t xml:space="preserve"> INFORMACJE DOTYCZĄCZE ZABEZPIECZENIA NALEŻYTEGO WYKONANIA UMOWY</w:t>
      </w:r>
    </w:p>
    <w:p>
      <w:pPr>
        <w:pStyle w:val="Standard"/>
        <w:ind w:firstLine="708"/>
        <w:jc w:val="both"/>
        <w:rPr/>
      </w:pPr>
      <w:r>
        <w:rPr>
          <w:rFonts w:ascii="Calibri" w:hAnsi="Calibri"/>
          <w:sz w:val="22"/>
          <w:szCs w:val="22"/>
        </w:rPr>
        <w:t>Zamawiający nie przewiduje od Wykonawcy zabezpieczenia należytego wykonania umowy.</w:t>
      </w:r>
    </w:p>
    <w:p>
      <w:pPr>
        <w:pStyle w:val="Standard"/>
        <w:jc w:val="both"/>
        <w:rPr/>
      </w:pPr>
      <w:r>
        <w:rPr/>
      </w:r>
    </w:p>
    <w:p>
      <w:pPr>
        <w:pStyle w:val="Standard"/>
        <w:jc w:val="both"/>
        <w:rPr/>
      </w:pPr>
      <w:r>
        <w:rPr>
          <w:rFonts w:ascii="Calibri" w:hAnsi="Calibri"/>
          <w:b/>
          <w:bCs/>
          <w:i/>
          <w:iCs/>
          <w:sz w:val="22"/>
          <w:szCs w:val="22"/>
          <w:u w:val="single"/>
        </w:rPr>
        <w:t>ROZDZIAŁ 37:</w:t>
      </w:r>
      <w:r>
        <w:rPr>
          <w:rFonts w:ascii="Calibri" w:hAnsi="Calibri"/>
          <w:b/>
          <w:bCs/>
          <w:sz w:val="22"/>
          <w:szCs w:val="22"/>
          <w:u w:val="single"/>
        </w:rPr>
        <w:t xml:space="preserve"> KLAUZULA INFORMACYJNA RODO</w:t>
      </w:r>
    </w:p>
    <w:p>
      <w:pPr>
        <w:pStyle w:val="Normal"/>
        <w:widowControl/>
        <w:spacing w:before="0" w:after="40"/>
        <w:ind w:left="360" w:hanging="0"/>
        <w:jc w:val="both"/>
        <w:textAlignment w:val="auto"/>
        <w:rPr/>
      </w:pPr>
      <w:r>
        <w:rPr>
          <w:rFonts w:eastAsia="Times New Roman" w:cs="Times New Roman" w:ascii="Calibri" w:hAnsi="Calibri"/>
          <w:kern w:val="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ListParagraph"/>
        <w:numPr>
          <w:ilvl w:val="0"/>
          <w:numId w:val="11"/>
        </w:numPr>
        <w:spacing w:before="0" w:after="40"/>
        <w:jc w:val="both"/>
        <w:textAlignment w:val="auto"/>
        <w:rPr/>
      </w:pPr>
      <w:r>
        <w:rPr>
          <w:rFonts w:ascii="Calibri" w:hAnsi="Calibri"/>
          <w:kern w:val="0"/>
          <w:sz w:val="22"/>
          <w:szCs w:val="22"/>
        </w:rPr>
        <w:t>administratorem Pani/Pana danych osobowych jest Zakład Karny, ul. Szkolna 8</w:t>
      </w:r>
      <w:r>
        <w:rPr>
          <w:rFonts w:ascii="Calibri" w:hAnsi="Calibri"/>
          <w:kern w:val="0"/>
          <w:sz w:val="22"/>
          <w:szCs w:val="22"/>
          <w:lang w:val="en-US"/>
        </w:rPr>
        <w:t xml:space="preserve">, 78-530 Wierzchowo,                     e-mail: </w:t>
      </w:r>
      <w:hyperlink r:id="rId34">
        <w:r>
          <w:rPr>
            <w:rStyle w:val="Czeinternetowe"/>
            <w:rFonts w:cs="Arial" w:ascii="Calibri" w:hAnsi="Calibri"/>
            <w:b w:val="false"/>
            <w:i w:val="false"/>
            <w:caps w:val="false"/>
            <w:smallCaps w:val="false"/>
            <w:color w:val="333333"/>
            <w:spacing w:val="0"/>
            <w:kern w:val="0"/>
            <w:sz w:val="22"/>
            <w:szCs w:val="22"/>
            <w:lang w:val="en-US"/>
          </w:rPr>
          <w:t>wierzchowo@sw.gov.pl</w:t>
        </w:r>
      </w:hyperlink>
      <w:r>
        <w:rPr>
          <w:rFonts w:ascii="Calibri" w:hAnsi="Calibri"/>
          <w:kern w:val="0"/>
          <w:sz w:val="22"/>
          <w:szCs w:val="22"/>
          <w:lang w:val="en-US"/>
        </w:rPr>
        <w:t xml:space="preserve">, </w:t>
      </w:r>
      <w:r>
        <w:rPr>
          <w:rFonts w:cs="Arial" w:ascii="Calibri" w:hAnsi="Calibri"/>
          <w:kern w:val="0"/>
          <w:sz w:val="22"/>
          <w:szCs w:val="22"/>
          <w:lang w:val="en-US"/>
        </w:rPr>
        <w:t>Tel. (094) 34 00 700 Fax. (094) 34 00 707</w:t>
      </w:r>
      <w:r>
        <w:rPr>
          <w:rFonts w:ascii="Calibri" w:hAnsi="Calibri"/>
          <w:kern w:val="0"/>
          <w:sz w:val="22"/>
          <w:szCs w:val="22"/>
          <w:lang w:val="en-US"/>
        </w:rPr>
        <w:t xml:space="preserve"> </w:t>
      </w:r>
    </w:p>
    <w:p>
      <w:pPr>
        <w:pStyle w:val="ListParagraph"/>
        <w:numPr>
          <w:ilvl w:val="0"/>
          <w:numId w:val="11"/>
        </w:numPr>
        <w:spacing w:before="0" w:after="40"/>
        <w:jc w:val="both"/>
        <w:textAlignment w:val="auto"/>
        <w:rPr/>
      </w:pPr>
      <w:r>
        <w:rPr>
          <w:rFonts w:ascii="Calibri" w:hAnsi="Calibri"/>
          <w:kern w:val="0"/>
          <w:sz w:val="22"/>
          <w:szCs w:val="22"/>
        </w:rPr>
        <w:t>inspektorem ochrony danych osobowych w Zakładzie Karnym Wierzchowie jest Pan Paweł Szewczyk,                   e-mail: pawel.szewczyk@sw.gov.pl, tel. (094) 34 00 765;</w:t>
      </w:r>
    </w:p>
    <w:p>
      <w:pPr>
        <w:pStyle w:val="ListParagraph"/>
        <w:numPr>
          <w:ilvl w:val="0"/>
          <w:numId w:val="11"/>
        </w:numPr>
        <w:spacing w:before="0" w:after="40"/>
        <w:jc w:val="both"/>
        <w:textAlignment w:val="auto"/>
        <w:rPr/>
      </w:pPr>
      <w:r>
        <w:rPr>
          <w:rFonts w:ascii="Calibri" w:hAnsi="Calibri"/>
          <w:kern w:val="0"/>
          <w:sz w:val="22"/>
          <w:szCs w:val="22"/>
        </w:rPr>
        <w:t xml:space="preserve">Pani/Pana dane osobowe przetwarzane będą na podstawie art. 6 ust. 1 lit. c RODO w celu związanym                         z postępowaniem o udzielenie zamówienia publicznego prowadzonego w trybie podstawowym bez negocjacji o numerze DKW.2232.2.2024.DG, którego przedmiotem zamówienia są sukcesywne dostawy </w:t>
      </w:r>
      <w:r>
        <w:rPr>
          <w:rFonts w:eastAsia="Arial" w:cs="Arial" w:ascii="Calibri" w:hAnsi="Calibri"/>
          <w:b w:val="false"/>
          <w:bCs w:val="false"/>
          <w:kern w:val="2"/>
          <w:sz w:val="22"/>
          <w:szCs w:val="22"/>
          <w:lang w:eastAsia="ar-SA"/>
        </w:rPr>
        <w:t>ziemiopłodów, warzyw przetworzonych, owoców</w:t>
      </w:r>
      <w:r>
        <w:rPr>
          <w:rFonts w:ascii="Calibri" w:hAnsi="Calibri"/>
          <w:kern w:val="0"/>
          <w:sz w:val="22"/>
          <w:szCs w:val="22"/>
        </w:rPr>
        <w:t xml:space="preserve"> na potrzeby Zakładu Karnego w Wierzchowie; </w:t>
      </w:r>
    </w:p>
    <w:p>
      <w:pPr>
        <w:pStyle w:val="ListParagraph"/>
        <w:numPr>
          <w:ilvl w:val="0"/>
          <w:numId w:val="11"/>
        </w:numPr>
        <w:spacing w:before="0" w:after="40"/>
        <w:jc w:val="both"/>
        <w:textAlignment w:val="auto"/>
        <w:rPr/>
      </w:pPr>
      <w:r>
        <w:rPr>
          <w:rFonts w:ascii="Calibri" w:hAnsi="Calibri"/>
          <w:kern w:val="0"/>
          <w:sz w:val="22"/>
          <w:szCs w:val="22"/>
        </w:rPr>
        <w:t>odbiorcami Pani/Pana danych osobowych będą osoby lub podmioty, którym udostępniona zostanie dokumentacja postępowania w oparciu o art. 74 ustawy Pzp.</w:t>
      </w:r>
    </w:p>
    <w:p>
      <w:pPr>
        <w:pStyle w:val="ListParagraph"/>
        <w:numPr>
          <w:ilvl w:val="0"/>
          <w:numId w:val="11"/>
        </w:numPr>
        <w:spacing w:before="0" w:after="40"/>
        <w:jc w:val="both"/>
        <w:textAlignment w:val="auto"/>
        <w:rPr/>
      </w:pPr>
      <w:r>
        <w:rPr>
          <w:rFonts w:ascii="Calibri" w:hAnsi="Calibri"/>
          <w:kern w:val="0"/>
          <w:sz w:val="22"/>
          <w:szCs w:val="22"/>
        </w:rPr>
        <w:t>Pani/Pana dane osobowe będą przechowywane, zgodnie z art. 78 ust. 1 ustawy Pzp,</w:t>
      </w:r>
      <w:r>
        <w:rPr>
          <w:rFonts w:ascii="Calibri" w:hAnsi="Calibri"/>
          <w:color w:val="FF0000"/>
          <w:kern w:val="0"/>
          <w:sz w:val="22"/>
          <w:szCs w:val="22"/>
        </w:rPr>
        <w:t xml:space="preserve"> </w:t>
      </w:r>
      <w:r>
        <w:rPr>
          <w:rFonts w:ascii="Calibri" w:hAnsi="Calibri"/>
          <w:kern w:val="0"/>
          <w:sz w:val="22"/>
          <w:szCs w:val="22"/>
        </w:rPr>
        <w:t>przez okres 4 lat od dnia zakończenia postępowania o udzielenie zamówienia, a jeżeli czas trwania umowy przekracza 4 lata, okres przechowywania obejmuje cały czas trwania umowy;</w:t>
      </w:r>
    </w:p>
    <w:p>
      <w:pPr>
        <w:pStyle w:val="ListParagraph"/>
        <w:numPr>
          <w:ilvl w:val="0"/>
          <w:numId w:val="11"/>
        </w:numPr>
        <w:spacing w:before="0" w:after="40"/>
        <w:jc w:val="both"/>
        <w:textAlignment w:val="auto"/>
        <w:rPr/>
      </w:pPr>
      <w:r>
        <w:rPr>
          <w:rFonts w:ascii="Calibri" w:hAnsi="Calibri"/>
          <w:kern w:val="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11"/>
        </w:numPr>
        <w:spacing w:before="0" w:after="40"/>
        <w:jc w:val="both"/>
        <w:textAlignment w:val="auto"/>
        <w:rPr/>
      </w:pPr>
      <w:r>
        <w:rPr>
          <w:rFonts w:ascii="Calibri" w:hAnsi="Calibri"/>
          <w:kern w:val="0"/>
          <w:sz w:val="22"/>
          <w:szCs w:val="22"/>
        </w:rPr>
        <w:t>w odniesieniu do Pani/Pana danych osobowych decyzje nie będą podejmowane w sposób zautomatyzowany, stosowanie do art. 22 RODO;</w:t>
      </w:r>
    </w:p>
    <w:p>
      <w:pPr>
        <w:pStyle w:val="ListParagraph"/>
        <w:numPr>
          <w:ilvl w:val="0"/>
          <w:numId w:val="11"/>
        </w:numPr>
        <w:spacing w:before="0" w:after="40"/>
        <w:jc w:val="both"/>
        <w:textAlignment w:val="auto"/>
        <w:rPr/>
      </w:pPr>
      <w:r>
        <w:rPr>
          <w:rFonts w:ascii="Calibri" w:hAnsi="Calibri"/>
          <w:kern w:val="0"/>
          <w:sz w:val="22"/>
          <w:szCs w:val="22"/>
        </w:rPr>
        <w:t>posiada Pani/Pan:</w:t>
      </w:r>
    </w:p>
    <w:p>
      <w:pPr>
        <w:pStyle w:val="ListParagraph"/>
        <w:numPr>
          <w:ilvl w:val="0"/>
          <w:numId w:val="12"/>
        </w:numPr>
        <w:spacing w:before="0" w:after="40"/>
        <w:jc w:val="both"/>
        <w:textAlignment w:val="auto"/>
        <w:rPr/>
      </w:pPr>
      <w:r>
        <w:rPr>
          <w:rFonts w:ascii="Calibri" w:hAnsi="Calibri"/>
          <w:kern w:val="0"/>
          <w:sz w:val="22"/>
          <w:szCs w:val="22"/>
        </w:rPr>
        <w:t>na podstawie art. 15 RODO prawo dostępu do danych osobowych Pani/Pana dotyczących;</w:t>
      </w:r>
    </w:p>
    <w:p>
      <w:pPr>
        <w:pStyle w:val="ListParagraph"/>
        <w:numPr>
          <w:ilvl w:val="0"/>
          <w:numId w:val="12"/>
        </w:numPr>
        <w:spacing w:before="0" w:after="40"/>
        <w:jc w:val="both"/>
        <w:textAlignment w:val="auto"/>
        <w:rPr/>
      </w:pPr>
      <w:r>
        <w:rPr>
          <w:rFonts w:ascii="Calibri" w:hAnsi="Calibri"/>
          <w:kern w:val="0"/>
          <w:sz w:val="22"/>
          <w:szCs w:val="22"/>
        </w:rPr>
        <w:t>na podstawie art. 16 RODO prawo do sprostowania Pani/Pana danych osobowych **;</w:t>
      </w:r>
    </w:p>
    <w:p>
      <w:pPr>
        <w:pStyle w:val="ListParagraph"/>
        <w:numPr>
          <w:ilvl w:val="0"/>
          <w:numId w:val="12"/>
        </w:numPr>
        <w:spacing w:before="0" w:after="40"/>
        <w:jc w:val="both"/>
        <w:textAlignment w:val="auto"/>
        <w:rPr/>
      </w:pPr>
      <w:r>
        <w:rPr>
          <w:rFonts w:ascii="Calibri" w:hAnsi="Calibri"/>
          <w:kern w:val="0"/>
          <w:sz w:val="22"/>
          <w:szCs w:val="22"/>
        </w:rPr>
        <w:t xml:space="preserve">na podstawie art. 18 RODO prawo żądania od administratora ograniczenia przetwarzania danych osobowych z zastrzeżeniem przypadków, o których mowa w art. 18 ust. 2 RODO ***;  </w:t>
      </w:r>
    </w:p>
    <w:p>
      <w:pPr>
        <w:pStyle w:val="ListParagraph"/>
        <w:numPr>
          <w:ilvl w:val="0"/>
          <w:numId w:val="12"/>
        </w:numPr>
        <w:spacing w:before="0" w:after="40"/>
        <w:jc w:val="both"/>
        <w:textAlignment w:val="auto"/>
        <w:rPr/>
      </w:pPr>
      <w:r>
        <w:rPr>
          <w:rFonts w:ascii="Calibri" w:hAnsi="Calibri"/>
          <w:kern w:val="0"/>
          <w:sz w:val="22"/>
          <w:szCs w:val="22"/>
        </w:rPr>
        <w:t>prawo do wniesienia skargi do Prezesa Urzędu Ochrony Danych Osobowych, gdy uzna Pani/Pan, że przetwarzanie danych osobowych Pani/Pana dotyczących narusza przepisy RODO;</w:t>
      </w:r>
    </w:p>
    <w:p>
      <w:pPr>
        <w:pStyle w:val="ListParagraph"/>
        <w:numPr>
          <w:ilvl w:val="0"/>
          <w:numId w:val="13"/>
        </w:numPr>
        <w:spacing w:before="0" w:after="40"/>
        <w:jc w:val="both"/>
        <w:textAlignment w:val="auto"/>
        <w:rPr/>
      </w:pPr>
      <w:r>
        <w:rPr>
          <w:rFonts w:ascii="Calibri" w:hAnsi="Calibri"/>
          <w:kern w:val="0"/>
          <w:sz w:val="22"/>
          <w:szCs w:val="22"/>
        </w:rPr>
        <w:t>nie przysługuje Pani/Panu:</w:t>
      </w:r>
    </w:p>
    <w:p>
      <w:pPr>
        <w:pStyle w:val="ListParagraph"/>
        <w:numPr>
          <w:ilvl w:val="0"/>
          <w:numId w:val="14"/>
        </w:numPr>
        <w:spacing w:before="0" w:after="40"/>
        <w:jc w:val="both"/>
        <w:textAlignment w:val="auto"/>
        <w:rPr/>
      </w:pPr>
      <w:r>
        <w:rPr>
          <w:rFonts w:ascii="Calibri" w:hAnsi="Calibri"/>
          <w:kern w:val="0"/>
          <w:sz w:val="22"/>
          <w:szCs w:val="22"/>
        </w:rPr>
        <w:t>w związku z art. 17 ust. 3 lit. b, d lub e RODO prawo do usunięcia danych osobowych;</w:t>
      </w:r>
    </w:p>
    <w:p>
      <w:pPr>
        <w:pStyle w:val="ListParagraph"/>
        <w:numPr>
          <w:ilvl w:val="0"/>
          <w:numId w:val="14"/>
        </w:numPr>
        <w:spacing w:before="0" w:after="40"/>
        <w:jc w:val="both"/>
        <w:textAlignment w:val="auto"/>
        <w:rPr/>
      </w:pPr>
      <w:r>
        <w:rPr>
          <w:rFonts w:ascii="Calibri" w:hAnsi="Calibri"/>
          <w:kern w:val="0"/>
          <w:sz w:val="22"/>
          <w:szCs w:val="22"/>
        </w:rPr>
        <w:t>prawo do przenoszenia danych osobowych, o którym mowa w art. 20 RODO;</w:t>
      </w:r>
    </w:p>
    <w:p>
      <w:pPr>
        <w:pStyle w:val="ListParagraph"/>
        <w:numPr>
          <w:ilvl w:val="0"/>
          <w:numId w:val="14"/>
        </w:numPr>
        <w:spacing w:before="0" w:after="40"/>
        <w:jc w:val="both"/>
        <w:textAlignment w:val="auto"/>
        <w:rPr/>
      </w:pPr>
      <w:r>
        <w:rPr>
          <w:rFonts w:ascii="Calibri" w:hAnsi="Calibri"/>
          <w:kern w:val="0"/>
          <w:sz w:val="22"/>
          <w:szCs w:val="22"/>
        </w:rPr>
        <w:t xml:space="preserve">na podstawie art. 21 RODO prawo sprzeciwu, wobec przetwarzania danych osobowych, gdyż podstawą prawną przetwarzania Pani/Pana danych osobowych jest art. 6 ust. 1 lit. c RODO. </w:t>
      </w:r>
    </w:p>
    <w:p>
      <w:pPr>
        <w:pStyle w:val="Normal"/>
        <w:widowControl/>
        <w:spacing w:lineRule="auto" w:line="276" w:before="120" w:after="120"/>
        <w:jc w:val="both"/>
        <w:textAlignment w:val="auto"/>
        <w:rPr/>
      </w:pPr>
      <w:r>
        <w:rPr>
          <w:rFonts w:eastAsia="Calibri" w:cs="Arial" w:ascii="Arial" w:hAnsi="Arial"/>
          <w:kern w:val="0"/>
          <w:sz w:val="22"/>
          <w:szCs w:val="22"/>
          <w:lang w:eastAsia="en-US"/>
        </w:rPr>
        <w:t>______________________</w:t>
      </w:r>
    </w:p>
    <w:p>
      <w:pPr>
        <w:pStyle w:val="Normal"/>
        <w:widowControl/>
        <w:ind w:left="426" w:hanging="0"/>
        <w:jc w:val="both"/>
        <w:textAlignment w:val="auto"/>
        <w:rPr/>
      </w:pPr>
      <w:r>
        <w:rPr>
          <w:rFonts w:eastAsia="Calibri" w:cs="Arial" w:ascii="Calibri" w:hAnsi="Calibri"/>
          <w:b/>
          <w:kern w:val="0"/>
          <w:sz w:val="18"/>
          <w:szCs w:val="18"/>
          <w:vertAlign w:val="superscript"/>
          <w:lang w:eastAsia="en-US"/>
        </w:rPr>
        <w:t xml:space="preserve">** </w:t>
      </w:r>
      <w:r>
        <w:rPr>
          <w:rFonts w:eastAsia="Calibri" w:cs="Arial" w:ascii="Calibri" w:hAnsi="Calibri"/>
          <w:b/>
          <w:kern w:val="0"/>
          <w:sz w:val="18"/>
          <w:szCs w:val="18"/>
          <w:lang w:eastAsia="en-US"/>
        </w:rPr>
        <w:t xml:space="preserve">Wyjaśnienie: </w:t>
      </w:r>
      <w:r>
        <w:rPr>
          <w:rFonts w:eastAsia="Times New Roman" w:cs="Arial" w:ascii="Calibri" w:hAnsi="Calibri"/>
          <w:kern w:val="0"/>
          <w:sz w:val="18"/>
          <w:szCs w:val="18"/>
        </w:rPr>
        <w:t xml:space="preserve">skorzystanie z prawa do sprostowania nie może skutkować zmianą </w:t>
      </w:r>
      <w:r>
        <w:rPr>
          <w:rFonts w:eastAsia="Calibri" w:cs="Arial" w:ascii="Calibri" w:hAnsi="Calibri"/>
          <w:kern w:val="0"/>
          <w:sz w:val="18"/>
          <w:szCs w:val="18"/>
          <w:lang w:eastAsia="en-US"/>
        </w:rPr>
        <w:t>wyniku postępowania</w:t>
        <w:br/>
        <w:t>o udzielenie zamówienia publicznego ani zmianą postanowień umowy w zakresie niezgodnym z ustawą Pzp oraz nie może naruszać integralności protokołu oraz jego załączników.</w:t>
      </w:r>
    </w:p>
    <w:p>
      <w:pPr>
        <w:pStyle w:val="Normal"/>
        <w:widowControl/>
        <w:ind w:left="426" w:hanging="0"/>
        <w:jc w:val="both"/>
        <w:textAlignment w:val="auto"/>
        <w:rPr>
          <w:rFonts w:ascii="Calibri" w:hAnsi="Calibri" w:eastAsia="Calibri" w:cs="Arial"/>
          <w:kern w:val="0"/>
          <w:sz w:val="18"/>
          <w:szCs w:val="18"/>
          <w:lang w:eastAsia="en-US"/>
        </w:rPr>
      </w:pPr>
      <w:r>
        <w:rPr>
          <w:rFonts w:eastAsia="Calibri" w:cs="Arial" w:ascii="Calibri" w:hAnsi="Calibri"/>
          <w:kern w:val="0"/>
          <w:sz w:val="18"/>
          <w:szCs w:val="18"/>
          <w:lang w:eastAsia="en-US"/>
        </w:rPr>
      </w:r>
    </w:p>
    <w:p>
      <w:pPr>
        <w:pStyle w:val="Normal"/>
        <w:widowControl/>
        <w:ind w:left="426" w:hanging="0"/>
        <w:jc w:val="both"/>
        <w:textAlignment w:val="auto"/>
        <w:rPr/>
      </w:pPr>
      <w:r>
        <w:rPr>
          <w:rFonts w:eastAsia="Calibri" w:cs="Arial" w:ascii="Calibri" w:hAnsi="Calibri"/>
          <w:b/>
          <w:kern w:val="0"/>
          <w:sz w:val="18"/>
          <w:szCs w:val="18"/>
          <w:vertAlign w:val="superscript"/>
          <w:lang w:eastAsia="en-US"/>
        </w:rPr>
        <w:t xml:space="preserve">*** </w:t>
      </w:r>
      <w:r>
        <w:rPr>
          <w:rFonts w:eastAsia="Calibri" w:cs="Arial" w:ascii="Calibri" w:hAnsi="Calibri"/>
          <w:b/>
          <w:kern w:val="0"/>
          <w:sz w:val="18"/>
          <w:szCs w:val="18"/>
          <w:lang w:eastAsia="en-US"/>
        </w:rPr>
        <w:t>Wyjaśnienie:</w:t>
      </w:r>
      <w:r>
        <w:rPr>
          <w:rFonts w:eastAsia="Calibri" w:cs="Arial" w:ascii="Calibri" w:hAnsi="Calibri"/>
          <w:kern w:val="0"/>
          <w:sz w:val="18"/>
          <w:szCs w:val="18"/>
          <w:lang w:eastAsia="en-US"/>
        </w:rPr>
        <w:t xml:space="preserve"> prawo do ograniczenia przetwarzania nie ma zastosowania w odniesieniu do </w:t>
      </w:r>
      <w:r>
        <w:rPr>
          <w:rFonts w:eastAsia="Times New Roman" w:cs="Arial" w:ascii="Calibri" w:hAnsi="Calibri"/>
          <w:kern w:val="0"/>
          <w:sz w:val="18"/>
          <w:szCs w:val="18"/>
        </w:rPr>
        <w:t>przechowywania, w celu zapewnienia korzystania ze środków ochrony prawnej lub w celu ochrony praw innej osoby fizycznej lub prawnej, lub z uwagi na ważne względy interesu publicznego Unii Europejskiej lub państwa członkowskiego.</w:t>
      </w:r>
    </w:p>
    <w:p>
      <w:pPr>
        <w:pStyle w:val="Standard"/>
        <w:jc w:val="both"/>
        <w:rPr>
          <w:rFonts w:ascii="Calibri" w:hAnsi="Calibri"/>
          <w:b/>
          <w:b/>
          <w:bCs/>
          <w:i/>
          <w:i/>
          <w:iCs/>
          <w:sz w:val="22"/>
          <w:szCs w:val="22"/>
          <w:u w:val="single"/>
        </w:rPr>
      </w:pPr>
      <w:r>
        <w:rPr>
          <w:rFonts w:ascii="Calibri" w:hAnsi="Calibri"/>
          <w:b/>
          <w:bCs/>
          <w:i/>
          <w:iCs/>
          <w:sz w:val="22"/>
          <w:szCs w:val="22"/>
          <w:u w:val="single"/>
        </w:rPr>
      </w:r>
    </w:p>
    <w:p>
      <w:pPr>
        <w:pStyle w:val="Standard"/>
        <w:jc w:val="both"/>
        <w:rPr/>
      </w:pPr>
      <w:r>
        <w:rPr>
          <w:rFonts w:ascii="Calibri" w:hAnsi="Calibri"/>
          <w:b/>
          <w:bCs/>
          <w:i/>
          <w:iCs/>
          <w:sz w:val="22"/>
          <w:szCs w:val="22"/>
          <w:u w:val="single"/>
        </w:rPr>
        <w:t>ROZDZIAŁ 38:</w:t>
      </w:r>
      <w:r>
        <w:rPr>
          <w:rFonts w:ascii="Calibri" w:hAnsi="Calibri"/>
          <w:b/>
          <w:bCs/>
          <w:sz w:val="22"/>
          <w:szCs w:val="22"/>
          <w:u w:val="single"/>
        </w:rPr>
        <w:t xml:space="preserve"> ZAŁĄCZNIKI</w:t>
      </w:r>
    </w:p>
    <w:p>
      <w:pPr>
        <w:pStyle w:val="Standard"/>
        <w:ind w:firstLine="360"/>
        <w:jc w:val="both"/>
        <w:rPr/>
      </w:pPr>
      <w:r>
        <w:rPr>
          <w:rFonts w:ascii="Calibri" w:hAnsi="Calibri"/>
          <w:sz w:val="22"/>
          <w:szCs w:val="22"/>
        </w:rPr>
        <w:t>Załączniki do specyfikacji warunków zamówienia:</w:t>
      </w:r>
    </w:p>
    <w:p>
      <w:pPr>
        <w:pStyle w:val="Standard"/>
        <w:numPr>
          <w:ilvl w:val="0"/>
          <w:numId w:val="15"/>
        </w:numPr>
        <w:jc w:val="both"/>
        <w:rPr/>
      </w:pPr>
      <w:r>
        <w:rPr>
          <w:rFonts w:ascii="Calibri" w:hAnsi="Calibri"/>
          <w:sz w:val="22"/>
          <w:szCs w:val="22"/>
        </w:rPr>
        <w:t>załącznik od nr 1 – opis przedmiotu zamówienia;</w:t>
      </w:r>
    </w:p>
    <w:p>
      <w:pPr>
        <w:pStyle w:val="ListParagraph"/>
        <w:numPr>
          <w:ilvl w:val="0"/>
          <w:numId w:val="15"/>
        </w:numPr>
        <w:jc w:val="both"/>
        <w:rPr/>
      </w:pPr>
      <w:r>
        <w:rPr>
          <w:rFonts w:ascii="Calibri" w:hAnsi="Calibri"/>
          <w:sz w:val="22"/>
          <w:szCs w:val="22"/>
        </w:rPr>
        <w:t>załącznik nr 2 – formularz ofertowy;</w:t>
      </w:r>
    </w:p>
    <w:p>
      <w:pPr>
        <w:pStyle w:val="ListParagraph"/>
        <w:numPr>
          <w:ilvl w:val="0"/>
          <w:numId w:val="15"/>
        </w:numPr>
        <w:jc w:val="both"/>
        <w:rPr/>
      </w:pPr>
      <w:r>
        <w:rPr>
          <w:rFonts w:ascii="Calibri" w:hAnsi="Calibri"/>
          <w:sz w:val="22"/>
          <w:szCs w:val="22"/>
        </w:rPr>
        <w:t>załącznik nr 3 – oświadczenie Wykonawcy składane na podstawie art. 125 ust. 1 ustawy Pzp, dotyczące przesłanek wykluczenia z postępowania;</w:t>
      </w:r>
    </w:p>
    <w:p>
      <w:pPr>
        <w:pStyle w:val="ListParagraph"/>
        <w:numPr>
          <w:ilvl w:val="0"/>
          <w:numId w:val="15"/>
        </w:numPr>
        <w:jc w:val="both"/>
        <w:rPr/>
      </w:pPr>
      <w:r>
        <w:rPr>
          <w:rFonts w:ascii="Calibri" w:hAnsi="Calibri"/>
          <w:sz w:val="22"/>
          <w:szCs w:val="22"/>
        </w:rPr>
        <w:t>załącznik nr 4 - oświadczenie Wykonawcy składane na podstawie art. 125 ust. 1 ustawy Pzp, dotyczące spełniania warunków udziału w postępowaniu;</w:t>
      </w:r>
    </w:p>
    <w:p>
      <w:pPr>
        <w:pStyle w:val="ListParagraph"/>
        <w:numPr>
          <w:ilvl w:val="0"/>
          <w:numId w:val="15"/>
        </w:numPr>
        <w:jc w:val="both"/>
        <w:rPr/>
      </w:pPr>
      <w:r>
        <w:rPr>
          <w:rFonts w:ascii="Calibri" w:hAnsi="Calibri"/>
          <w:sz w:val="22"/>
          <w:szCs w:val="22"/>
        </w:rPr>
        <w:t>załącznik nr 5 – oświadczenie Wykonawcy składane na podstawie art. 108 ust. 1 pkt 5 ustawy Pzp, dotyczące przynależności lub braku przynależności do tej samej grupy kapitałowej;</w:t>
      </w:r>
    </w:p>
    <w:p>
      <w:pPr>
        <w:pStyle w:val="Standard"/>
        <w:numPr>
          <w:ilvl w:val="0"/>
          <w:numId w:val="15"/>
        </w:numPr>
        <w:jc w:val="both"/>
        <w:rPr/>
      </w:pPr>
      <w:r>
        <w:rPr>
          <w:rFonts w:ascii="Calibri" w:hAnsi="Calibri"/>
          <w:sz w:val="22"/>
          <w:szCs w:val="22"/>
        </w:rPr>
        <w:t>załącznik nr 6 – wzór umowy;</w:t>
      </w:r>
    </w:p>
    <w:p>
      <w:pPr>
        <w:pStyle w:val="Standard"/>
        <w:numPr>
          <w:ilvl w:val="0"/>
          <w:numId w:val="15"/>
        </w:numPr>
        <w:spacing w:lineRule="auto" w:line="360"/>
        <w:jc w:val="both"/>
        <w:rPr/>
      </w:pPr>
      <w:r>
        <w:rPr>
          <w:rFonts w:eastAsia="Times New Roman" w:cs="Times New Roman" w:ascii="Calibri" w:hAnsi="Calibri"/>
          <w:b/>
          <w:bCs/>
          <w:i w:val="false"/>
          <w:iCs w:val="false"/>
          <w:sz w:val="22"/>
          <w:szCs w:val="22"/>
        </w:rPr>
        <w:t xml:space="preserve">załącznik nr 7 – regulamin korzystania z portalu </w:t>
      </w:r>
      <w:hyperlink r:id="rId35">
        <w:r>
          <w:rPr>
            <w:rStyle w:val="Czeinternetowe"/>
            <w:rFonts w:eastAsia="Times New Roman" w:cs="Arial" w:ascii="Calibri" w:hAnsi="Calibri"/>
            <w:b/>
            <w:bCs/>
            <w:i w:val="false"/>
            <w:iCs w:val="false"/>
            <w:sz w:val="22"/>
            <w:szCs w:val="22"/>
          </w:rPr>
          <w:t>Strona główna - Platforma Zakupowa</w:t>
        </w:r>
      </w:hyperlink>
      <w:r>
        <w:rPr>
          <w:rStyle w:val="Czeinternetowe"/>
          <w:rFonts w:eastAsia="Times New Roman" w:cs="Arial" w:ascii="Calibri" w:hAnsi="Calibri"/>
          <w:b/>
          <w:bCs/>
          <w:i w:val="false"/>
          <w:iCs w:val="false"/>
          <w:sz w:val="22"/>
          <w:szCs w:val="22"/>
        </w:rPr>
        <w:t xml:space="preserve"> </w:t>
      </w:r>
      <w:r>
        <w:rPr>
          <w:rFonts w:eastAsia="Times New Roman" w:cs="Times New Roman" w:ascii="Calibri" w:hAnsi="Calibri"/>
          <w:b/>
          <w:bCs/>
          <w:i w:val="false"/>
          <w:iCs w:val="false"/>
          <w:sz w:val="22"/>
          <w:szCs w:val="22"/>
        </w:rPr>
        <w:t>.</w:t>
      </w:r>
    </w:p>
    <w:sectPr>
      <w:headerReference w:type="default" r:id="rId36"/>
      <w:headerReference w:type="first" r:id="rId37"/>
      <w:footerReference w:type="default" r:id="rId38"/>
      <w:footerReference w:type="first" r:id="rId39"/>
      <w:type w:val="nextPage"/>
      <w:pgSz w:w="12240" w:h="15840"/>
      <w:pgMar w:left="850" w:right="850" w:header="708" w:top="765" w:footer="708" w:bottom="765"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Palatino Linotype">
    <w:charset w:val="ee"/>
    <w:family w:val="roman"/>
    <w:pitch w:val="variable"/>
  </w:font>
  <w:font w:name="Symbol">
    <w:charset w:val="ee"/>
    <w:family w:val="roman"/>
    <w:pitch w:val="variable"/>
  </w:font>
  <w:font w:name="StarSymbol">
    <w:altName w:val="Arial Unicode MS"/>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Cambria">
    <w:altName w:val=" Cambri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rFonts w:ascii="Calibri" w:hAnsi="Calibri"/>
        <w:color w:val="000000"/>
        <w:sz w:val="16"/>
        <w:szCs w:val="16"/>
      </w:rPr>
      <w:t xml:space="preserve">Strona </w:t>
    </w:r>
    <w:r>
      <w:rPr>
        <w:rFonts w:ascii="Calibri" w:hAnsi="Calibri"/>
        <w:sz w:val="16"/>
        <w:szCs w:val="16"/>
      </w:rPr>
      <w:fldChar w:fldCharType="begin"/>
    </w:r>
    <w:r>
      <w:rPr>
        <w:sz w:val="16"/>
        <w:szCs w:val="16"/>
        <w:rFonts w:ascii="Calibri" w:hAnsi="Calibri"/>
      </w:rPr>
      <w:instrText> PAGE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r>
      <w:rPr>
        <w:rFonts w:ascii="Calibri" w:hAnsi="Calibri"/>
        <w:color w:val="000000"/>
        <w:sz w:val="16"/>
        <w:szCs w:val="16"/>
      </w:rPr>
      <w:t xml:space="preserve"> z </w:t>
    </w:r>
    <w:r>
      <w:rPr>
        <w:rFonts w:ascii="Calibri" w:hAnsi="Calibri"/>
        <w:sz w:val="16"/>
        <w:szCs w:val="16"/>
      </w:rPr>
      <w:fldChar w:fldCharType="begin"/>
    </w:r>
    <w:r>
      <w:rPr>
        <w:sz w:val="16"/>
        <w:szCs w:val="16"/>
        <w:rFonts w:ascii="Calibri" w:hAnsi="Calibri"/>
      </w:rPr>
      <w:instrText> NUMPAGES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rFonts w:ascii="Calibri" w:hAnsi="Calibri"/>
        <w:color w:val="000000"/>
        <w:sz w:val="16"/>
        <w:szCs w:val="16"/>
      </w:rPr>
      <w:t xml:space="preserve">Strona </w:t>
    </w:r>
    <w:r>
      <w:rPr>
        <w:rFonts w:ascii="Calibri" w:hAnsi="Calibri"/>
        <w:sz w:val="16"/>
        <w:szCs w:val="16"/>
      </w:rPr>
      <w:fldChar w:fldCharType="begin"/>
    </w:r>
    <w:r>
      <w:rPr>
        <w:sz w:val="16"/>
        <w:szCs w:val="16"/>
        <w:rFonts w:ascii="Calibri" w:hAnsi="Calibri"/>
      </w:rPr>
      <w:instrText> PAGE </w:instrText>
    </w:r>
    <w:r>
      <w:rPr>
        <w:sz w:val="16"/>
        <w:szCs w:val="16"/>
        <w:rFonts w:ascii="Calibri" w:hAnsi="Calibri"/>
      </w:rPr>
      <w:fldChar w:fldCharType="separate"/>
    </w:r>
    <w:r>
      <w:rPr>
        <w:sz w:val="16"/>
        <w:szCs w:val="16"/>
        <w:rFonts w:ascii="Calibri" w:hAnsi="Calibri"/>
      </w:rPr>
      <w:t>1</w:t>
    </w:r>
    <w:r>
      <w:rPr>
        <w:sz w:val="16"/>
        <w:szCs w:val="16"/>
        <w:rFonts w:ascii="Calibri" w:hAnsi="Calibri"/>
      </w:rPr>
      <w:fldChar w:fldCharType="end"/>
    </w:r>
    <w:r>
      <w:rPr>
        <w:rFonts w:ascii="Calibri" w:hAnsi="Calibri"/>
        <w:color w:val="000000"/>
        <w:sz w:val="16"/>
        <w:szCs w:val="16"/>
      </w:rPr>
      <w:t xml:space="preserve"> z </w:t>
    </w:r>
    <w:r>
      <w:rPr>
        <w:rFonts w:ascii="Calibri" w:hAnsi="Calibri"/>
        <w:sz w:val="16"/>
        <w:szCs w:val="16"/>
      </w:rPr>
      <w:fldChar w:fldCharType="begin"/>
    </w:r>
    <w:r>
      <w:rPr>
        <w:sz w:val="16"/>
        <w:szCs w:val="16"/>
        <w:rFonts w:ascii="Calibri" w:hAnsi="Calibri"/>
      </w:rPr>
      <w:instrText> NUMPAGES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pPr>
    <w:r>
      <w:rPr/>
      <w:drawing>
        <wp:inline distT="0" distB="0" distL="0" distR="0">
          <wp:extent cx="1208405" cy="423545"/>
          <wp:effectExtent l="0" t="0" r="0" b="0"/>
          <wp:docPr id="3"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
                  <pic:cNvPicPr>
                    <a:picLocks noChangeAspect="1" noChangeArrowheads="1"/>
                  </pic:cNvPicPr>
                </pic:nvPicPr>
                <pic:blipFill>
                  <a:blip r:embed="rId1"/>
                  <a:stretch>
                    <a:fillRect/>
                  </a:stretch>
                </pic:blipFill>
                <pic:spPr bwMode="auto">
                  <a:xfrm>
                    <a:off x="0" y="0"/>
                    <a:ext cx="1208405" cy="423545"/>
                  </a:xfrm>
                  <a:prstGeom prst="rect">
                    <a:avLst/>
                  </a:prstGeom>
                </pic:spPr>
              </pic:pic>
            </a:graphicData>
          </a:graphic>
        </wp:inline>
      </w:drawing>
    </w:r>
  </w:p>
  <w:p>
    <w:pPr>
      <w:pStyle w:val="NoSpacing"/>
      <w:jc w:val="center"/>
      <w:rPr>
        <w:rFonts w:ascii="Calibri" w:hAnsi="Calibri"/>
        <w:sz w:val="14"/>
        <w:szCs w:val="14"/>
      </w:rPr>
    </w:pPr>
    <w:r>
      <w:rPr>
        <w:rFonts w:ascii="Calibri" w:hAnsi="Calibri"/>
        <w:sz w:val="14"/>
        <w:szCs w:val="14"/>
      </w:rPr>
    </w:r>
  </w:p>
  <w:p>
    <w:pPr>
      <w:pStyle w:val="NoSpacing"/>
      <w:jc w:val="center"/>
      <w:rPr/>
    </w:pPr>
    <w:r>
      <w:rPr>
        <w:rFonts w:ascii="Calibri" w:hAnsi="Calibri"/>
        <w:sz w:val="14"/>
        <w:szCs w:val="14"/>
      </w:rPr>
      <w:t>SPECYFIKACJA WARUNKÓW ZAMÓWIENIA – TRYB PODSTAWOWY BEZ NEGOCJACJI NA DOSTAWY – DKW.2232.2.2024.DG</w:t>
    </w:r>
  </w:p>
  <w:p>
    <w:pPr>
      <w:pStyle w:val="NoSpacing"/>
      <w:jc w:val="center"/>
      <w:rPr>
        <w:rFonts w:ascii="Calibri" w:hAnsi="Calibri"/>
        <w:sz w:val="14"/>
        <w:szCs w:val="14"/>
      </w:rPr>
    </w:pPr>
    <w:r>
      <w:rPr>
        <w:rFonts w:ascii="Calibri" w:hAnsi="Calibri"/>
        <w:sz w:val="14"/>
        <w:szCs w:val="14"/>
      </w:rPr>
    </w:r>
  </w:p>
  <w:p>
    <w:pPr>
      <w:pStyle w:val="NoSpacing"/>
      <w:jc w:val="center"/>
      <w:rPr>
        <w:rFonts w:ascii="Calibri" w:hAnsi="Calibri"/>
        <w:sz w:val="14"/>
        <w:szCs w:val="14"/>
      </w:rPr>
    </w:pPr>
    <w:r>
      <w:rPr>
        <w:rFonts w:ascii="Calibri" w:hAnsi="Calibri"/>
        <w:sz w:val="14"/>
        <w:szCs w:val="1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pPr>
    <w:r>
      <w:rPr/>
      <w:drawing>
        <wp:inline distT="0" distB="0" distL="0" distR="0">
          <wp:extent cx="1206500" cy="425450"/>
          <wp:effectExtent l="0" t="0" r="0" b="0"/>
          <wp:docPr id="4"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
                  <pic:cNvPicPr>
                    <a:picLocks noChangeAspect="1" noChangeArrowheads="1"/>
                  </pic:cNvPicPr>
                </pic:nvPicPr>
                <pic:blipFill>
                  <a:blip r:embed="rId1"/>
                  <a:stretch>
                    <a:fillRect/>
                  </a:stretch>
                </pic:blipFill>
                <pic:spPr bwMode="auto">
                  <a:xfrm>
                    <a:off x="0" y="0"/>
                    <a:ext cx="1206500" cy="425450"/>
                  </a:xfrm>
                  <a:prstGeom prst="rect">
                    <a:avLst/>
                  </a:prstGeom>
                </pic:spPr>
              </pic:pic>
            </a:graphicData>
          </a:graphic>
        </wp:inline>
      </w:drawing>
    </w:r>
  </w:p>
  <w:p>
    <w:pPr>
      <w:pStyle w:val="NoSpacing"/>
      <w:jc w:val="center"/>
      <w:rPr>
        <w:rFonts w:ascii="Calibri" w:hAnsi="Calibri"/>
        <w:sz w:val="14"/>
        <w:szCs w:val="14"/>
      </w:rPr>
    </w:pPr>
    <w:r>
      <w:rPr>
        <w:rFonts w:ascii="Calibri" w:hAnsi="Calibri"/>
        <w:sz w:val="14"/>
        <w:szCs w:val="14"/>
      </w:rPr>
    </w:r>
  </w:p>
  <w:p>
    <w:pPr>
      <w:pStyle w:val="NoSpacing"/>
      <w:jc w:val="center"/>
      <w:rPr/>
    </w:pPr>
    <w:r>
      <w:rPr>
        <w:rFonts w:ascii="Calibri" w:hAnsi="Calibri"/>
        <w:sz w:val="14"/>
        <w:szCs w:val="14"/>
      </w:rPr>
      <w:t>SPECYFIKACJA WARUNKÓW ZAMÓWIENIA – TRYB PODSTAWOWY BEZ NEGOCJACJI NA DOSTAWY – DKW.2232.2.2024.DG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val="false"/>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2"/>
        <w:b w:val="false"/>
        <w:szCs w:val="22"/>
        <w:bCs w:val="false"/>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3">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rPr>
        <w:sz w:val="22"/>
        <w:b w:val="false"/>
        <w:szCs w:val="22"/>
        <w:bCs w:val="false"/>
        <w:color w:val="auto"/>
      </w:rPr>
    </w:lvl>
    <w:lvl w:ilvl="1">
      <w:start w:val="1"/>
      <w:numFmt w:val="decimal"/>
      <w:lvlText w:val="%2."/>
      <w:lvlJc w:val="left"/>
      <w:pPr>
        <w:ind w:left="1080" w:hanging="360"/>
      </w:pPr>
      <w:rPr>
        <w:sz w:val="22"/>
        <w:b w:val="false"/>
        <w:szCs w:val="22"/>
        <w:bCs w:val="false"/>
      </w:rPr>
    </w:lvl>
    <w:lvl w:ilvl="2">
      <w:start w:val="1"/>
      <w:numFmt w:val="bullet"/>
      <w:lvlText w:val=""/>
      <w:lvlJc w:val="left"/>
      <w:pPr>
        <w:ind w:left="1440" w:hanging="360"/>
      </w:pPr>
      <w:rPr>
        <w:rFonts w:ascii="Wingdings" w:hAnsi="Wingdings" w:cs="Wingdings" w:hint="default"/>
        <w:sz w:val="22"/>
        <w:szCs w:val="22"/>
        <w:rFonts w:cs="OpenSymbol"/>
      </w:r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6">
    <w:lvl w:ilvl="0">
      <w:start w:val="1"/>
      <w:numFmt w:val="decimal"/>
      <w:lvlText w:val="%1."/>
      <w:lvlJc w:val="left"/>
      <w:pPr>
        <w:ind w:left="720" w:hanging="360"/>
      </w:pPr>
      <w:rPr>
        <w:sz w:val="22"/>
        <w:b w:val="false"/>
        <w:szCs w:val="22"/>
        <w:bCs w:val="false"/>
      </w:rPr>
    </w:lvl>
    <w:lvl w:ilvl="1">
      <w:start w:val="1"/>
      <w:numFmt w:val="decimal"/>
      <w:lvlText w:val="%2)"/>
      <w:lvlJc w:val="left"/>
      <w:pPr>
        <w:ind w:left="1080" w:hanging="360"/>
      </w:pPr>
    </w:lvl>
    <w:lvl w:ilvl="2">
      <w:start w:val="1"/>
      <w:numFmt w:val="decimal"/>
      <w:lvlText w:val="%3."/>
      <w:lvlJc w:val="left"/>
      <w:pPr>
        <w:ind w:left="1440" w:hanging="360"/>
      </w:pPr>
      <w:rPr>
        <w:sz w:val="22"/>
        <w:b w:val="false"/>
        <w:szCs w:val="22"/>
        <w:bCs w:val="false"/>
      </w:r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7">
    <w:lvl w:ilvl="0">
      <w:start w:val="1"/>
      <w:numFmt w:val="decimal"/>
      <w:lvlText w:val="%1."/>
      <w:lvlJc w:val="left"/>
      <w:pPr>
        <w:ind w:left="720" w:hanging="360"/>
      </w:pPr>
      <w:rPr>
        <w:sz w:val="22"/>
        <w:b w:val="false"/>
        <w:szCs w:val="22"/>
        <w:bCs w:val="false"/>
      </w:rPr>
    </w:lvl>
    <w:lvl w:ilvl="1">
      <w:start w:val="1"/>
      <w:numFmt w:val="decimal"/>
      <w:lvlText w:val="%2."/>
      <w:lvlJc w:val="left"/>
      <w:pPr>
        <w:ind w:left="1080" w:hanging="360"/>
      </w:pPr>
      <w:rPr>
        <w:sz w:val="22"/>
        <w:b w:val="false"/>
        <w:szCs w:val="22"/>
        <w:bCs w:val="false"/>
      </w:rPr>
    </w:lvl>
    <w:lvl w:ilvl="2">
      <w:start w:val="1"/>
      <w:numFmt w:val="decimal"/>
      <w:lvlText w:val="%3."/>
      <w:lvlJc w:val="left"/>
      <w:pPr>
        <w:ind w:left="1440" w:hanging="360"/>
      </w:pPr>
      <w:rPr>
        <w:sz w:val="22"/>
        <w:b w:val="false"/>
        <w:szCs w:val="22"/>
        <w:bCs w:val="false"/>
      </w:r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8">
    <w:lvl w:ilvl="0">
      <w:start w:val="1"/>
      <w:numFmt w:val="decimal"/>
      <w:lvlText w:val="%1."/>
      <w:lvlJc w:val="left"/>
      <w:pPr>
        <w:ind w:left="720" w:hanging="360"/>
      </w:pPr>
      <w:rPr>
        <w:sz w:val="22"/>
        <w:b/>
        <w:szCs w:val="22"/>
        <w:bCs w:val="false"/>
      </w:rPr>
    </w:lvl>
    <w:lvl w:ilvl="1">
      <w:start w:val="1"/>
      <w:numFmt w:val="decimal"/>
      <w:lvlText w:val="%2)"/>
      <w:lvlJc w:val="left"/>
      <w:pPr>
        <w:ind w:left="1080" w:hanging="360"/>
      </w:pPr>
      <w:rPr>
        <w:sz w:val="22"/>
        <w:szCs w:val="22"/>
      </w:rPr>
    </w:lvl>
    <w:lvl w:ilvl="2">
      <w:start w:val="1"/>
      <w:numFmt w:val="decimal"/>
      <w:lvlText w:val="%3."/>
      <w:lvlJc w:val="left"/>
      <w:pPr>
        <w:ind w:left="1440" w:hanging="360"/>
      </w:pPr>
      <w:rPr>
        <w:sz w:val="22"/>
        <w:b w:val="false"/>
        <w:szCs w:val="22"/>
        <w:bCs w:val="false"/>
      </w:r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9">
    <w:lvl w:ilvl="0">
      <w:start w:val="1"/>
      <w:numFmt w:val="decimal"/>
      <w:lvlText w:val="%1."/>
      <w:lvlJc w:val="left"/>
      <w:pPr>
        <w:ind w:left="720" w:hanging="360"/>
      </w:pPr>
    </w:lvl>
    <w:lvl w:ilvl="1">
      <w:start w:val="1"/>
      <w:numFmt w:val="decimal"/>
      <w:lvlText w:val="%2)"/>
      <w:lvlJc w:val="left"/>
      <w:pPr>
        <w:ind w:left="1080" w:hanging="360"/>
      </w:pPr>
      <w:rPr>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decimal"/>
      <w:lvlText w:val="%1."/>
      <w:lvlJc w:val="left"/>
      <w:pPr>
        <w:ind w:left="720" w:hanging="360"/>
      </w:pPr>
      <w:rPr>
        <w:sz w:val="22"/>
        <w:b w:val="false"/>
        <w:szCs w:val="22"/>
        <w:bCs w:val="false"/>
      </w:rPr>
    </w:lvl>
    <w:lvl w:ilvl="1">
      <w:start w:val="1"/>
      <w:numFmt w:val="lowerLetter"/>
      <w:lvlText w:val="%2)"/>
      <w:lvlJc w:val="left"/>
      <w:pPr>
        <w:ind w:left="1080" w:hanging="360"/>
      </w:pPr>
      <w:rPr>
        <w:sz w:val="22"/>
        <w:szCs w:val="22"/>
      </w:rPr>
    </w:lvl>
    <w:lvl w:ilvl="2">
      <w:start w:val="1"/>
      <w:numFmt w:val="decimal"/>
      <w:lvlText w:val="%3."/>
      <w:lvlJc w:val="left"/>
      <w:pPr>
        <w:ind w:left="1440" w:hanging="360"/>
      </w:pPr>
      <w:rPr>
        <w:sz w:val="22"/>
        <w:b w:val="false"/>
        <w:szCs w:val="22"/>
        <w:bCs w:val="false"/>
      </w:rPr>
    </w:lvl>
    <w:lvl w:ilvl="3">
      <w:start w:val="1"/>
      <w:numFmt w:val="decimal"/>
      <w:lvlText w:val="%4."/>
      <w:lvlJc w:val="left"/>
      <w:pPr>
        <w:ind w:left="1800" w:hanging="360"/>
      </w:pPr>
      <w:rPr>
        <w:sz w:val="22"/>
        <w:b w:val="false"/>
        <w:szCs w:val="22"/>
        <w:bCs w:val="false"/>
      </w:rPr>
    </w:lvl>
    <w:lvl w:ilvl="4">
      <w:start w:val="1"/>
      <w:numFmt w:val="decimal"/>
      <w:lvlText w:val="%5."/>
      <w:lvlJc w:val="left"/>
      <w:pPr>
        <w:ind w:left="2160" w:hanging="360"/>
      </w:pPr>
      <w:rPr>
        <w:sz w:val="22"/>
        <w:b w:val="false"/>
        <w:szCs w:val="22"/>
        <w:bCs w:val="false"/>
      </w:rPr>
    </w:lvl>
    <w:lvl w:ilvl="5">
      <w:start w:val="1"/>
      <w:numFmt w:val="decimal"/>
      <w:lvlText w:val="%6."/>
      <w:lvlJc w:val="left"/>
      <w:pPr>
        <w:ind w:left="2520" w:hanging="360"/>
      </w:pPr>
      <w:rPr>
        <w:sz w:val="22"/>
        <w:b w:val="false"/>
        <w:szCs w:val="22"/>
        <w:bCs w:val="false"/>
      </w:rPr>
    </w:lvl>
    <w:lvl w:ilvl="6">
      <w:start w:val="1"/>
      <w:numFmt w:val="decimal"/>
      <w:lvlText w:val="%7."/>
      <w:lvlJc w:val="left"/>
      <w:pPr>
        <w:ind w:left="2880" w:hanging="360"/>
      </w:pPr>
      <w:rPr>
        <w:sz w:val="22"/>
        <w:b w:val="false"/>
        <w:szCs w:val="22"/>
        <w:bCs w:val="false"/>
      </w:rPr>
    </w:lvl>
    <w:lvl w:ilvl="7">
      <w:start w:val="1"/>
      <w:numFmt w:val="decimal"/>
      <w:lvlText w:val="%8."/>
      <w:lvlJc w:val="left"/>
      <w:pPr>
        <w:ind w:left="3240" w:hanging="360"/>
      </w:pPr>
      <w:rPr>
        <w:sz w:val="22"/>
        <w:b w:val="false"/>
        <w:szCs w:val="22"/>
        <w:bCs w:val="false"/>
      </w:rPr>
    </w:lvl>
    <w:lvl w:ilvl="8">
      <w:start w:val="1"/>
      <w:numFmt w:val="decimal"/>
      <w:lvlText w:val="%9."/>
      <w:lvlJc w:val="left"/>
      <w:pPr>
        <w:ind w:left="3600" w:hanging="360"/>
      </w:pPr>
      <w:rPr>
        <w:sz w:val="22"/>
        <w:b w:val="false"/>
        <w:szCs w:val="22"/>
        <w:bCs w:val="false"/>
      </w:rPr>
    </w:lvl>
  </w:abstractNum>
  <w:abstractNum w:abstractNumId="11">
    <w:lvl w:ilvl="0">
      <w:start w:val="1"/>
      <w:numFmt w:val="bullet"/>
      <w:lvlText w:val=""/>
      <w:lvlJc w:val="left"/>
      <w:pPr>
        <w:ind w:left="1068" w:hanging="360"/>
      </w:pPr>
      <w:rPr>
        <w:rFonts w:ascii="Wingdings" w:hAnsi="Wingdings" w:cs="Wingdings" w:hint="default"/>
        <w:sz w:val="22"/>
        <w:rFonts w:cs="Wingding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12">
    <w:lvl w:ilvl="0">
      <w:start w:val="1"/>
      <w:numFmt w:val="bullet"/>
      <w:lvlText w:val=""/>
      <w:lvlJc w:val="left"/>
      <w:pPr>
        <w:ind w:left="1428" w:hanging="360"/>
      </w:pPr>
      <w:rPr>
        <w:rFonts w:ascii="Wingdings" w:hAnsi="Wingdings" w:cs="Wingdings" w:hint="default"/>
        <w:sz w:val="22"/>
        <w:szCs w:val="16"/>
        <w:rFonts w:cs="Wingdings"/>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3">
    <w:lvl w:ilvl="0">
      <w:start w:val="1"/>
      <w:numFmt w:val="bullet"/>
      <w:lvlText w:val=""/>
      <w:lvlJc w:val="left"/>
      <w:pPr>
        <w:ind w:left="1068" w:hanging="360"/>
      </w:pPr>
      <w:rPr>
        <w:rFonts w:ascii="Wingdings" w:hAnsi="Wingdings" w:cs="Wingdings" w:hint="default"/>
        <w:sz w:val="22"/>
        <w:rFonts w:cs="Wingding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14">
    <w:lvl w:ilvl="0">
      <w:start w:val="1"/>
      <w:numFmt w:val="bullet"/>
      <w:lvlText w:val=""/>
      <w:lvlJc w:val="left"/>
      <w:pPr>
        <w:ind w:left="1440" w:hanging="360"/>
      </w:pPr>
      <w:rPr>
        <w:rFonts w:ascii="Wingdings" w:hAnsi="Wingdings" w:cs="Wingdings" w:hint="default"/>
        <w:sz w:val="22"/>
        <w:szCs w:val="16"/>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5">
    <w:lvl w:ilvl="0">
      <w:start w:val="1"/>
      <w:numFmt w:val="decimal"/>
      <w:lvlText w:val="%1)"/>
      <w:lvlJc w:val="left"/>
      <w:pPr>
        <w:ind w:left="1068" w:hanging="360"/>
      </w:pPr>
      <w:rPr>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1425" w:hanging="360"/>
      </w:pPr>
      <w:rPr>
        <w:rFonts w:ascii="Wingdings" w:hAnsi="Wingdings" w:cs="Wingdings" w:hint="default"/>
        <w:sz w:val="16"/>
        <w:szCs w:val="16"/>
        <w:rFonts w:cs="Wingdings"/>
        <w:color w:val="auto"/>
      </w:rPr>
    </w:lvl>
    <w:lvl w:ilvl="1">
      <w:start w:val="1"/>
      <w:numFmt w:val="bullet"/>
      <w:lvlText w:val="o"/>
      <w:lvlJc w:val="left"/>
      <w:pPr>
        <w:ind w:left="2145" w:hanging="360"/>
      </w:pPr>
      <w:rPr>
        <w:rFonts w:ascii="Courier New" w:hAnsi="Courier New" w:cs="Courier New" w:hint="default"/>
        <w:rFonts w:cs="Courier New"/>
      </w:rPr>
    </w:lvl>
    <w:lvl w:ilvl="2">
      <w:start w:val="1"/>
      <w:numFmt w:val="bullet"/>
      <w:lvlText w:val=""/>
      <w:lvlJc w:val="left"/>
      <w:pPr>
        <w:ind w:left="2865" w:hanging="360"/>
      </w:pPr>
      <w:rPr>
        <w:rFonts w:ascii="Wingdings" w:hAnsi="Wingdings" w:cs="Wingdings" w:hint="default"/>
        <w:rFonts w:cs="Wingdings"/>
      </w:rPr>
    </w:lvl>
    <w:lvl w:ilvl="3">
      <w:start w:val="1"/>
      <w:numFmt w:val="bullet"/>
      <w:lvlText w:val=""/>
      <w:lvlJc w:val="left"/>
      <w:pPr>
        <w:ind w:left="3585" w:hanging="360"/>
      </w:pPr>
      <w:rPr>
        <w:rFonts w:ascii="Symbol" w:hAnsi="Symbol" w:cs="Symbol" w:hint="default"/>
        <w:rFonts w:cs="Symbol"/>
      </w:rPr>
    </w:lvl>
    <w:lvl w:ilvl="4">
      <w:start w:val="1"/>
      <w:numFmt w:val="bullet"/>
      <w:lvlText w:val="o"/>
      <w:lvlJc w:val="left"/>
      <w:pPr>
        <w:ind w:left="4305" w:hanging="360"/>
      </w:pPr>
      <w:rPr>
        <w:rFonts w:ascii="Courier New" w:hAnsi="Courier New" w:cs="Courier New" w:hint="default"/>
        <w:rFonts w:cs="Courier New"/>
      </w:rPr>
    </w:lvl>
    <w:lvl w:ilvl="5">
      <w:start w:val="1"/>
      <w:numFmt w:val="bullet"/>
      <w:lvlText w:val=""/>
      <w:lvlJc w:val="left"/>
      <w:pPr>
        <w:ind w:left="5025" w:hanging="360"/>
      </w:pPr>
      <w:rPr>
        <w:rFonts w:ascii="Wingdings" w:hAnsi="Wingdings" w:cs="Wingdings" w:hint="default"/>
        <w:rFonts w:cs="Wingdings"/>
      </w:rPr>
    </w:lvl>
    <w:lvl w:ilvl="6">
      <w:start w:val="1"/>
      <w:numFmt w:val="bullet"/>
      <w:lvlText w:val=""/>
      <w:lvlJc w:val="left"/>
      <w:pPr>
        <w:ind w:left="5745" w:hanging="360"/>
      </w:pPr>
      <w:rPr>
        <w:rFonts w:ascii="Symbol" w:hAnsi="Symbol" w:cs="Symbol" w:hint="default"/>
        <w:rFonts w:cs="Symbol"/>
      </w:rPr>
    </w:lvl>
    <w:lvl w:ilvl="7">
      <w:start w:val="1"/>
      <w:numFmt w:val="bullet"/>
      <w:lvlText w:val="o"/>
      <w:lvlJc w:val="left"/>
      <w:pPr>
        <w:ind w:left="6465" w:hanging="360"/>
      </w:pPr>
      <w:rPr>
        <w:rFonts w:ascii="Courier New" w:hAnsi="Courier New" w:cs="Courier New" w:hint="default"/>
        <w:rFonts w:cs="Courier New"/>
      </w:rPr>
    </w:lvl>
    <w:lvl w:ilvl="8">
      <w:start w:val="1"/>
      <w:numFmt w:val="bullet"/>
      <w:lvlText w:val=""/>
      <w:lvlJc w:val="left"/>
      <w:pPr>
        <w:ind w:left="7185" w:hanging="360"/>
      </w:pPr>
      <w:rPr>
        <w:rFonts w:ascii="Wingdings" w:hAnsi="Wingdings" w:cs="Wingdings" w:hint="default"/>
        <w:rFonts w:cs="Wingdings"/>
      </w:rPr>
    </w:lvl>
  </w:abstractNum>
  <w:abstractNum w:abstractNumId="18">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lvl w:ilvl="0">
      <w:start w:val="1"/>
      <w:numFmt w:val="bullet"/>
      <w:lvlText w:val=""/>
      <w:lvlJc w:val="left"/>
      <w:pPr>
        <w:ind w:left="1800" w:hanging="360"/>
      </w:pPr>
      <w:rPr>
        <w:rFonts w:ascii="Wingdings" w:hAnsi="Wingdings" w:cs="Wingdings" w:hint="default"/>
        <w:sz w:val="22"/>
        <w:szCs w:val="16"/>
        <w:rFonts w:cs="Wingdings"/>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0"/>
        <w:lang w:val="pl-PL" w:eastAsia="pl-PL" w:bidi="ar-SA"/>
      </w:rPr>
    </w:rPrDefault>
    <w:pPrDefault>
      <w:pPr/>
    </w:pPrDefault>
  </w:docDefaults>
  <w:style w:type="paragraph" w:styleId="Normal">
    <w:name w:val="Normal"/>
    <w:qFormat/>
    <w:pPr>
      <w:widowControl w:val="false"/>
      <w:suppressAutoHyphens w:val="true"/>
      <w:overflowPunct w:val="false"/>
      <w:bidi w:val="0"/>
      <w:jc w:val="left"/>
      <w:textAlignment w:val="baseline"/>
    </w:pPr>
    <w:rPr>
      <w:rFonts w:ascii="Times New Roman" w:hAnsi="Times New Roman" w:eastAsia="Lucida Sans Unicode" w:cs="Tahoma"/>
      <w:color w:val="auto"/>
      <w:kern w:val="2"/>
      <w:sz w:val="24"/>
      <w:szCs w:val="24"/>
      <w:lang w:val="pl-PL" w:eastAsia="pl-PL" w:bidi="ar-SA"/>
    </w:rPr>
  </w:style>
  <w:style w:type="paragraph" w:styleId="Nagwek1">
    <w:name w:val="Heading 1"/>
    <w:basedOn w:val="Standard"/>
    <w:next w:val="Standard"/>
    <w:qFormat/>
    <w:pPr>
      <w:keepNext w:val="true"/>
      <w:outlineLvl w:val="0"/>
    </w:pPr>
    <w:rPr>
      <w:b/>
      <w:sz w:val="32"/>
    </w:rPr>
  </w:style>
  <w:style w:type="paragraph" w:styleId="Nagwek2">
    <w:name w:val="Heading 2"/>
    <w:basedOn w:val="Standard"/>
    <w:next w:val="Standard"/>
    <w:qFormat/>
    <w:pPr>
      <w:keepNext w:val="true"/>
      <w:ind w:left="0" w:right="-284" w:hanging="0"/>
      <w:jc w:val="center"/>
      <w:outlineLvl w:val="1"/>
    </w:pPr>
    <w:rPr>
      <w:b/>
      <w:sz w:val="28"/>
    </w:rPr>
  </w:style>
  <w:style w:type="paragraph" w:styleId="Nagwek3">
    <w:name w:val="Heading 3"/>
    <w:basedOn w:val="Standard"/>
    <w:next w:val="Standard"/>
    <w:qFormat/>
    <w:pPr>
      <w:keepNext w:val="true"/>
      <w:ind w:left="0" w:right="-284" w:hanging="0"/>
      <w:outlineLvl w:val="2"/>
    </w:pPr>
    <w:rPr>
      <w:b/>
      <w:sz w:val="28"/>
    </w:rPr>
  </w:style>
  <w:style w:type="paragraph" w:styleId="Nagwek4">
    <w:name w:val="Heading 4"/>
    <w:basedOn w:val="Standard"/>
    <w:next w:val="Standard"/>
    <w:qFormat/>
    <w:pPr>
      <w:keepNext w:val="true"/>
      <w:ind w:left="0" w:right="-284" w:hanging="0"/>
      <w:outlineLvl w:val="3"/>
    </w:pPr>
    <w:rPr>
      <w:sz w:val="28"/>
    </w:rPr>
  </w:style>
  <w:style w:type="paragraph" w:styleId="Nagwek5">
    <w:name w:val="Heading 5"/>
    <w:basedOn w:val="Gwka"/>
    <w:next w:val="Textbody"/>
    <w:qFormat/>
    <w:pPr>
      <w:outlineLvl w:val="4"/>
    </w:pPr>
    <w:rPr>
      <w:b/>
      <w:bCs/>
      <w:sz w:val="24"/>
      <w:szCs w:val="24"/>
    </w:rPr>
  </w:style>
  <w:style w:type="paragraph" w:styleId="Nagwek8">
    <w:name w:val="Heading 8"/>
    <w:basedOn w:val="Standard"/>
    <w:next w:val="Standard"/>
    <w:qFormat/>
    <w:pPr>
      <w:keepNext w:val="true"/>
      <w:outlineLvl w:val="7"/>
    </w:pPr>
    <w:rPr>
      <w:b/>
      <w:sz w:val="24"/>
    </w:rPr>
  </w:style>
  <w:style w:type="paragraph" w:styleId="Nagwek9">
    <w:name w:val="Heading 9"/>
    <w:basedOn w:val="Nagwek"/>
    <w:next w:val="Textbody"/>
    <w:qFormat/>
    <w:pPr>
      <w:outlineLvl w:val="8"/>
    </w:pPr>
    <w:rPr>
      <w:b/>
      <w:bCs/>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Znakinumeracji">
    <w:name w:val="Znaki numeracji"/>
    <w:qFormat/>
    <w:rPr>
      <w:rFonts w:ascii="Palatino Linotype" w:hAnsi="Palatino Linotype"/>
      <w:b w:val="false"/>
      <w:bCs w:val="false"/>
      <w:sz w:val="22"/>
      <w:szCs w:val="22"/>
    </w:rPr>
  </w:style>
  <w:style w:type="character" w:styleId="Internetlink">
    <w:name w:val="Internet link"/>
    <w:qFormat/>
    <w:rPr>
      <w:color w:val="000080"/>
      <w:u w:val="single"/>
    </w:rPr>
  </w:style>
  <w:style w:type="character" w:styleId="Znakiwypunktowania">
    <w:name w:val="Znaki wypunktowania"/>
    <w:qFormat/>
    <w:rPr>
      <w:rFonts w:ascii="Palatino Linotype" w:hAnsi="Palatino Linotype" w:eastAsia="OpenSymbol" w:cs="OpenSymbol"/>
      <w:sz w:val="22"/>
      <w:szCs w:val="22"/>
    </w:rPr>
  </w:style>
  <w:style w:type="character" w:styleId="WW8Num26z0">
    <w:name w:val="WW8Num26z0"/>
    <w:qFormat/>
    <w:rPr>
      <w:rFonts w:ascii="Symbol" w:hAnsi="Symbol" w:cs="StarSymbol, 'Arial Unicode MS'"/>
      <w:sz w:val="20"/>
      <w:szCs w:val="20"/>
    </w:rPr>
  </w:style>
  <w:style w:type="character" w:styleId="WW8Num27z0">
    <w:name w:val="WW8Num27z0"/>
    <w:qFormat/>
    <w:rPr>
      <w:rFonts w:ascii="StarSymbol, 'Arial Unicode MS'" w:hAnsi="StarSymbol, 'Arial Unicode MS'" w:cs="StarSymbol, 'Arial Unicode MS'"/>
      <w:sz w:val="20"/>
      <w:szCs w:val="20"/>
    </w:rPr>
  </w:style>
  <w:style w:type="character" w:styleId="WW8Num7z0">
    <w:name w:val="WW8Num7z0"/>
    <w:qFormat/>
    <w:rPr>
      <w:rFonts w:ascii="Symbol" w:hAnsi="Symbol"/>
    </w:rPr>
  </w:style>
  <w:style w:type="character" w:styleId="WW8Num7z1">
    <w:name w:val="WW8Num7z1"/>
    <w:qFormat/>
    <w:rPr>
      <w:b w:val="false"/>
    </w:rPr>
  </w:style>
  <w:style w:type="character" w:styleId="WW8Num8z0">
    <w:name w:val="WW8Num8z0"/>
    <w:qFormat/>
    <w:rPr>
      <w:b w:val="false"/>
      <w:sz w:val="22"/>
      <w:szCs w:val="22"/>
    </w:rPr>
  </w:style>
  <w:style w:type="character" w:styleId="WW8Num16z0">
    <w:name w:val="WW8Num16z0"/>
    <w:qFormat/>
    <w:rPr>
      <w:b w:val="false"/>
      <w:sz w:val="22"/>
      <w:szCs w:val="22"/>
    </w:rPr>
  </w:style>
  <w:style w:type="character" w:styleId="WW8Num45z0">
    <w:name w:val="WW8Num45z0"/>
    <w:qFormat/>
    <w:rPr>
      <w:rFonts w:ascii="Calibri" w:hAnsi="Calibri" w:cs="Calibri"/>
      <w:sz w:val="22"/>
      <w:szCs w:val="24"/>
    </w:rPr>
  </w:style>
  <w:style w:type="character" w:styleId="WW8Num41z0">
    <w:name w:val="WW8Num41z0"/>
    <w:qFormat/>
    <w:rPr>
      <w:rFonts w:ascii="Symbol" w:hAnsi="Symbol" w:cs="Symbol"/>
      <w:sz w:val="24"/>
      <w:szCs w:val="24"/>
    </w:rPr>
  </w:style>
  <w:style w:type="character" w:styleId="Mocnowyrniony">
    <w:name w:val="Mocno wyróżniony"/>
    <w:qFormat/>
    <w:rPr>
      <w:b/>
      <w:bCs/>
    </w:rPr>
  </w:style>
  <w:style w:type="character" w:styleId="NagwekZnak">
    <w:name w:val="Nagłówek Znak"/>
    <w:qFormat/>
    <w:rPr>
      <w:rFonts w:ascii="Arial" w:hAnsi="Arial"/>
      <w:sz w:val="28"/>
      <w:szCs w:val="28"/>
      <w:lang w:bidi="ar-SA"/>
    </w:rPr>
  </w:style>
  <w:style w:type="character" w:styleId="StopkaZnak">
    <w:name w:val="Stopka Znak"/>
    <w:qFormat/>
    <w:rPr>
      <w:rFonts w:eastAsia="Times New Roman" w:cs="Times New Roman"/>
      <w:sz w:val="20"/>
      <w:szCs w:val="20"/>
      <w:lang w:bidi="ar-SA"/>
    </w:rPr>
  </w:style>
  <w:style w:type="character" w:styleId="BezodstpwZnak">
    <w:name w:val="Bez odstępów Znak"/>
    <w:basedOn w:val="DefaultParagraphFont"/>
    <w:qFormat/>
    <w:rPr/>
  </w:style>
  <w:style w:type="character" w:styleId="Czeinternetowe">
    <w:name w:val="Łącze internetowe"/>
    <w:rPr>
      <w:color w:val="0563C1"/>
      <w:u w:val="single"/>
    </w:rPr>
  </w:style>
  <w:style w:type="character" w:styleId="Wzmianka">
    <w:name w:val="Wzmianka"/>
    <w:qFormat/>
    <w:rPr>
      <w:color w:val="2B579A"/>
      <w:highlight w:val="white"/>
    </w:rPr>
  </w:style>
  <w:style w:type="character" w:styleId="Domylnaczcionkaakapitu1">
    <w:name w:val="Domyślna czcionka akapitu1"/>
    <w:qFormat/>
    <w:rPr/>
  </w:style>
  <w:style w:type="paragraph" w:styleId="Nagwek">
    <w:name w:val="Nagłówek"/>
    <w:basedOn w:val="Standard"/>
    <w:next w:val="Textbody"/>
    <w:qFormat/>
    <w:pPr>
      <w:keepNext w:val="true"/>
      <w:spacing w:before="240" w:after="120"/>
    </w:pPr>
    <w:rPr>
      <w:rFonts w:ascii="Arial" w:hAnsi="Arial" w:eastAsia="MS Mincho" w:cs="Tahoma"/>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Standard"/>
    <w:qFormat/>
    <w:pPr>
      <w:suppressLineNumbers/>
    </w:pPr>
    <w:rPr>
      <w:rFonts w:cs="Tahoma"/>
    </w:rPr>
  </w:style>
  <w:style w:type="paragraph" w:styleId="Gwkaistopka">
    <w:name w:val="Główka i stopka"/>
    <w:basedOn w:val="Normal"/>
    <w:qFormat/>
    <w:pPr/>
    <w:rPr/>
  </w:style>
  <w:style w:type="paragraph" w:styleId="Gwka">
    <w:name w:val="Header"/>
    <w:basedOn w:val="Standard"/>
    <w:next w:val="Textbody"/>
    <w:pPr>
      <w:keepNext w:val="true"/>
      <w:spacing w:before="240" w:after="120"/>
    </w:pPr>
    <w:rPr>
      <w:rFonts w:ascii="Arial" w:hAnsi="Arial" w:eastAsia="Lucida Sans Unicode" w:cs="Tahoma"/>
      <w:sz w:val="28"/>
      <w:szCs w:val="28"/>
    </w:rPr>
  </w:style>
  <w:style w:type="paragraph" w:styleId="Standard">
    <w:name w:val="Standard"/>
    <w:qFormat/>
    <w:pPr>
      <w:widowControl/>
      <w:suppressAutoHyphens w:val="true"/>
      <w:overflowPunct w:val="false"/>
      <w:bidi w:val="0"/>
      <w:jc w:val="left"/>
      <w:textAlignment w:val="baseline"/>
    </w:pPr>
    <w:rPr>
      <w:rFonts w:ascii="Times New Roman" w:hAnsi="Times New Roman" w:eastAsia="Times New Roman" w:cs="Times New Roman"/>
      <w:color w:val="auto"/>
      <w:kern w:val="2"/>
      <w:sz w:val="24"/>
      <w:szCs w:val="20"/>
      <w:lang w:val="pl-PL" w:eastAsia="pl-PL" w:bidi="ar-SA"/>
    </w:rPr>
  </w:style>
  <w:style w:type="paragraph" w:styleId="Textbody">
    <w:name w:val="Text body"/>
    <w:basedOn w:val="Standard"/>
    <w:qFormat/>
    <w:pPr/>
    <w:rPr>
      <w:b/>
      <w:sz w:val="32"/>
    </w:rPr>
  </w:style>
  <w:style w:type="paragraph" w:styleId="Caption">
    <w:name w:val="caption"/>
    <w:basedOn w:val="Standard"/>
    <w:qFormat/>
    <w:pPr>
      <w:suppressLineNumbers/>
      <w:spacing w:before="120" w:after="120"/>
    </w:pPr>
    <w:rPr>
      <w:rFonts w:cs="Tahoma"/>
      <w:i/>
      <w:iCs/>
    </w:rPr>
  </w:style>
  <w:style w:type="paragraph" w:styleId="BalloonText">
    <w:name w:val="Balloon Text"/>
    <w:basedOn w:val="Standard"/>
    <w:qFormat/>
    <w:pPr/>
    <w:rPr>
      <w:rFonts w:ascii="Tahoma" w:hAnsi="Tahoma" w:cs="Tahoma"/>
      <w:sz w:val="16"/>
      <w:szCs w:val="16"/>
    </w:rPr>
  </w:style>
  <w:style w:type="paragraph" w:styleId="Zawartotabeli">
    <w:name w:val="Zawartość tabeli"/>
    <w:basedOn w:val="Standard"/>
    <w:qFormat/>
    <w:pPr>
      <w:suppressLineNumbers/>
    </w:pPr>
    <w:rPr/>
  </w:style>
  <w:style w:type="paragraph" w:styleId="Nagwektabeli">
    <w:name w:val="Nagłówek tabeli"/>
    <w:basedOn w:val="Zawartotabeli"/>
    <w:qFormat/>
    <w:pPr>
      <w:jc w:val="center"/>
    </w:pPr>
    <w:rPr>
      <w:b/>
      <w:bCs/>
    </w:rPr>
  </w:style>
  <w:style w:type="paragraph" w:styleId="Tytu">
    <w:name w:val="Title"/>
    <w:basedOn w:val="Standard"/>
    <w:next w:val="Podtytu"/>
    <w:qFormat/>
    <w:pPr>
      <w:jc w:val="center"/>
    </w:pPr>
    <w:rPr>
      <w:sz w:val="32"/>
    </w:rPr>
  </w:style>
  <w:style w:type="paragraph" w:styleId="Podtytu">
    <w:name w:val="Subtitle"/>
    <w:basedOn w:val="Nagwek11"/>
    <w:next w:val="Textbody"/>
    <w:qFormat/>
    <w:pPr>
      <w:jc w:val="center"/>
    </w:pPr>
    <w:rPr>
      <w:i/>
      <w:iCs/>
    </w:rPr>
  </w:style>
  <w:style w:type="paragraph" w:styleId="Nagwek11">
    <w:name w:val="Nagłówek1"/>
    <w:basedOn w:val="Standard"/>
    <w:next w:val="Textbody"/>
    <w:qFormat/>
    <w:pPr>
      <w:keepNext w:val="true"/>
      <w:spacing w:before="240" w:after="120"/>
    </w:pPr>
    <w:rPr>
      <w:rFonts w:ascii="Arial" w:hAnsi="Arial" w:eastAsia="Lucida Sans Unicode" w:cs="Tahoma"/>
      <w:sz w:val="28"/>
      <w:szCs w:val="28"/>
    </w:rPr>
  </w:style>
  <w:style w:type="paragraph" w:styleId="Stopka">
    <w:name w:val="Footer"/>
    <w:basedOn w:val="Standard"/>
    <w:pPr>
      <w:suppressLineNumbers/>
      <w:tabs>
        <w:tab w:val="clear" w:pos="708"/>
        <w:tab w:val="center" w:pos="4703" w:leader="none"/>
        <w:tab w:val="right" w:pos="9406" w:leader="none"/>
      </w:tabs>
    </w:pPr>
    <w:rPr/>
  </w:style>
  <w:style w:type="paragraph" w:styleId="Textbodyindent">
    <w:name w:val="Text body indent"/>
    <w:basedOn w:val="Standard"/>
    <w:qFormat/>
    <w:pPr/>
    <w:rPr>
      <w:sz w:val="28"/>
    </w:rPr>
  </w:style>
  <w:style w:type="paragraph" w:styleId="Pkt">
    <w:name w:val="pkt"/>
    <w:basedOn w:val="Standard"/>
    <w:qFormat/>
    <w:pPr>
      <w:spacing w:before="60" w:after="60"/>
      <w:ind w:left="851" w:right="0" w:hanging="295"/>
      <w:jc w:val="both"/>
    </w:pPr>
    <w:rPr>
      <w:sz w:val="24"/>
    </w:rPr>
  </w:style>
  <w:style w:type="paragraph" w:styleId="Tekstpodstawowy21">
    <w:name w:val="Tekst podstawowy 21"/>
    <w:basedOn w:val="Standard"/>
    <w:qFormat/>
    <w:pPr>
      <w:jc w:val="right"/>
    </w:pPr>
    <w:rPr>
      <w:sz w:val="24"/>
      <w:szCs w:val="24"/>
    </w:rPr>
  </w:style>
  <w:style w:type="paragraph" w:styleId="ListParagraph">
    <w:name w:val="List Paragraph"/>
    <w:basedOn w:val="Standard"/>
    <w:qFormat/>
    <w:pPr>
      <w:ind w:left="720" w:right="0" w:hanging="0"/>
    </w:pPr>
    <w:rPr/>
  </w:style>
  <w:style w:type="paragraph" w:styleId="Default">
    <w:name w:val="Default"/>
    <w:basedOn w:val="Standard"/>
    <w:qFormat/>
    <w:pPr/>
    <w:rPr>
      <w:rFonts w:ascii="Cambria, Cambria" w:hAnsi="Cambria, Cambria" w:eastAsia="Cambria, Cambria" w:cs="Cambria, Cambria"/>
      <w:color w:val="000000"/>
      <w:sz w:val="24"/>
      <w:szCs w:val="24"/>
    </w:rPr>
  </w:style>
  <w:style w:type="paragraph" w:styleId="Nagwek10">
    <w:name w:val="Nagłówek 10"/>
    <w:basedOn w:val="Nagwek"/>
    <w:next w:val="Textbody"/>
    <w:qFormat/>
    <w:pPr/>
    <w:rPr>
      <w:b/>
      <w:bCs/>
    </w:rPr>
  </w:style>
  <w:style w:type="paragraph" w:styleId="NoSpacing">
    <w:name w:val="No Spacing"/>
    <w:qFormat/>
    <w:pPr>
      <w:widowControl w:val="false"/>
      <w:suppressAutoHyphens w:val="true"/>
      <w:overflowPunct w:val="false"/>
      <w:bidi w:val="0"/>
      <w:jc w:val="left"/>
      <w:textAlignment w:val="baseline"/>
    </w:pPr>
    <w:rPr>
      <w:rFonts w:ascii="Times New Roman" w:hAnsi="Times New Roman" w:eastAsia="Lucida Sans Unicode" w:cs="Tahoma"/>
      <w:color w:val="auto"/>
      <w:kern w:val="2"/>
      <w:sz w:val="24"/>
      <w:szCs w:val="24"/>
      <w:lang w:val="pl-PL" w:eastAsia="pl-PL" w:bidi="ar-SA"/>
    </w:rPr>
  </w:style>
  <w:style w:type="paragraph" w:styleId="Zawartoramki">
    <w:name w:val="Zawartość ramki"/>
    <w:basedOn w:val="Normal"/>
    <w:qFormat/>
    <w:pPr/>
    <w:rPr/>
  </w:style>
  <w:style w:type="numbering" w:styleId="NoList">
    <w:name w:val="No List"/>
    <w:qFormat/>
  </w:style>
  <w:style w:type="numbering" w:styleId="WW8Num1">
    <w:name w:val="WW8Num1"/>
    <w:qFormat/>
  </w:style>
  <w:style w:type="numbering" w:styleId="WW8Num17">
    <w:name w:val="WW8Num17"/>
    <w:qFormat/>
  </w:style>
  <w:style w:type="numbering" w:styleId="WW8Num18">
    <w:name w:val="WW8Num18"/>
    <w:qFormat/>
  </w:style>
  <w:style w:type="numbering" w:styleId="WW8Num26">
    <w:name w:val="WW8Num26"/>
    <w:qFormat/>
  </w:style>
  <w:style w:type="numbering" w:styleId="WW8Num27">
    <w:name w:val="WW8Num27"/>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5">
    <w:name w:val="WW8Num25"/>
    <w:qFormat/>
  </w:style>
  <w:style w:type="numbering" w:styleId="WW8Num24">
    <w:name w:val="WW8Num24"/>
    <w:qFormat/>
  </w:style>
  <w:style w:type="numbering" w:styleId="WW8Num14">
    <w:name w:val="WW8Num14"/>
    <w:qFormat/>
  </w:style>
  <w:style w:type="numbering" w:styleId="WW8Num7">
    <w:name w:val="WW8Num7"/>
    <w:qFormat/>
  </w:style>
  <w:style w:type="numbering" w:styleId="WW8Num11">
    <w:name w:val="WW8Num11"/>
    <w:qFormat/>
  </w:style>
  <w:style w:type="numbering" w:styleId="WW8Num8">
    <w:name w:val="WW8Num8"/>
    <w:qFormat/>
  </w:style>
  <w:style w:type="numbering" w:styleId="WW8Num16">
    <w:name w:val="WW8Num16"/>
    <w:qFormat/>
  </w:style>
  <w:style w:type="numbering" w:styleId="WW8Num15">
    <w:name w:val="WW8Num15"/>
    <w:qFormat/>
  </w:style>
  <w:style w:type="numbering" w:styleId="WW8Num5">
    <w:name w:val="WW8Num5"/>
    <w:qFormat/>
  </w:style>
  <w:style w:type="numbering" w:styleId="WW8Num2">
    <w:name w:val="WW8Num2"/>
    <w:qFormat/>
  </w:style>
  <w:style w:type="numbering" w:styleId="WW8Num9">
    <w:name w:val="WW8Num9"/>
    <w:qFormat/>
  </w:style>
  <w:style w:type="numbering" w:styleId="WW8Num45">
    <w:name w:val="WW8Num45"/>
    <w:qFormat/>
  </w:style>
  <w:style w:type="numbering" w:styleId="WW8Num41">
    <w:name w:val="WW8Num41"/>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RTFNum16">
    <w:name w:val="RTF_Num 16"/>
    <w:qFormat/>
  </w:style>
  <w:style w:type="numbering" w:styleId="RTFNum17">
    <w:name w:val="RTF_Num 17"/>
    <w:qFormat/>
  </w:style>
  <w:style w:type="numbering" w:styleId="RTFNum18">
    <w:name w:val="RTF_Num 18"/>
    <w:qFormat/>
  </w:style>
  <w:style w:type="numbering" w:styleId="RTFNum19">
    <w:name w:val="RTF_Num 19"/>
    <w:qFormat/>
  </w:style>
  <w:style w:type="numbering" w:styleId="RTFNum20">
    <w:name w:val="RTF_Num 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tformazakupowa.pl/" TargetMode="External"/><Relationship Id="rId3" Type="http://schemas.openxmlformats.org/officeDocument/2006/relationships/hyperlink" Target="https://www.platformazakupowa.pl/" TargetMode="External"/><Relationship Id="rId4" Type="http://schemas.openxmlformats.org/officeDocument/2006/relationships/hyperlink" Target="https://www.platformazakupowa.pl/" TargetMode="External"/><Relationship Id="rId5" Type="http://schemas.openxmlformats.org/officeDocument/2006/relationships/hyperlink" Target="https://www.platformazakupowa.pl/" TargetMode="External"/><Relationship Id="rId6" Type="http://schemas.openxmlformats.org/officeDocument/2006/relationships/hyperlink" Target="https://www.platformazakupowa.pl/" TargetMode="External"/><Relationship Id="rId7" Type="http://schemas.openxmlformats.org/officeDocument/2006/relationships/hyperlink" Target="https://www.platformazakupowa.pl/" TargetMode="External"/><Relationship Id="rId8" Type="http://schemas.openxmlformats.org/officeDocument/2006/relationships/hyperlink" Target="https://www.platformazakupowa.pl/" TargetMode="External"/><Relationship Id="rId9" Type="http://schemas.openxmlformats.org/officeDocument/2006/relationships/hyperlink" Target="https://www.platformazakupowa.pl/" TargetMode="External"/><Relationship Id="rId10" Type="http://schemas.openxmlformats.org/officeDocument/2006/relationships/hyperlink" Target="https://www.platformazakupowa.pl/" TargetMode="External"/><Relationship Id="rId11" Type="http://schemas.openxmlformats.org/officeDocument/2006/relationships/hyperlink" Target="https://www.platformazakupowa.pl/" TargetMode="External"/><Relationship Id="rId12" Type="http://schemas.openxmlformats.org/officeDocument/2006/relationships/hyperlink" Target="https://www.platformazakupowa.pl/" TargetMode="External"/><Relationship Id="rId13" Type="http://schemas.openxmlformats.org/officeDocument/2006/relationships/hyperlink" Target="https://www.platformazakupowa.pl/" TargetMode="External"/><Relationship Id="rId14" Type="http://schemas.openxmlformats.org/officeDocument/2006/relationships/hyperlink" Target="https://www.platformazakupowa.pl/" TargetMode="External"/><Relationship Id="rId15" Type="http://schemas.openxmlformats.org/officeDocument/2006/relationships/hyperlink" Target="https://www.platformazakupowa.pl/" TargetMode="External"/><Relationship Id="rId16" Type="http://schemas.openxmlformats.org/officeDocument/2006/relationships/hyperlink" Target="https://www.platformazakupowa.pl/" TargetMode="External"/><Relationship Id="rId17" Type="http://schemas.openxmlformats.org/officeDocument/2006/relationships/hyperlink" Target="https://www.platformazakupowa.pl/" TargetMode="External"/><Relationship Id="rId18" Type="http://schemas.openxmlformats.org/officeDocument/2006/relationships/hyperlink" Target="https://www.platformazakupowa.pl/" TargetMode="External"/><Relationship Id="rId19" Type="http://schemas.openxmlformats.org/officeDocument/2006/relationships/hyperlink" Target="https://www.platformazakupowa.pl/" TargetMode="External"/><Relationship Id="rId20" Type="http://schemas.openxmlformats.org/officeDocument/2006/relationships/hyperlink" Target="mailto:wierzchowo@sw.gov.pl" TargetMode="External"/><Relationship Id="rId21" Type="http://schemas.openxmlformats.org/officeDocument/2006/relationships/hyperlink" Target="https://www.platformazakupowa.pl/" TargetMode="External"/><Relationship Id="rId22" Type="http://schemas.openxmlformats.org/officeDocument/2006/relationships/hyperlink" Target="https://www.platformazakupowa.pl/" TargetMode="External"/><Relationship Id="rId23" Type="http://schemas.openxmlformats.org/officeDocument/2006/relationships/hyperlink" Target="https://www.platformazakupowa.pl/" TargetMode="External"/><Relationship Id="rId24" Type="http://schemas.openxmlformats.org/officeDocument/2006/relationships/hyperlink" Target="https://www.platformazakupowa.pl/" TargetMode="External"/><Relationship Id="rId25" Type="http://schemas.openxmlformats.org/officeDocument/2006/relationships/hyperlink" Target="https://www.platformazakupowa.pl/" TargetMode="External"/><Relationship Id="rId26" Type="http://schemas.openxmlformats.org/officeDocument/2006/relationships/hyperlink" Target="mailto:damian.godlewski@sw.gov.pl" TargetMode="External"/><Relationship Id="rId27" Type="http://schemas.openxmlformats.org/officeDocument/2006/relationships/hyperlink" Target="mailto:damian.godlewski@sw.gov.pl" TargetMode="External"/><Relationship Id="rId28" Type="http://schemas.openxmlformats.org/officeDocument/2006/relationships/hyperlink" Target="https://www.platformazakupowa.pl/" TargetMode="External"/><Relationship Id="rId29" Type="http://schemas.openxmlformats.org/officeDocument/2006/relationships/hyperlink" Target="https://www.platformazakupowa.pl/" TargetMode="External"/><Relationship Id="rId30" Type="http://schemas.openxmlformats.org/officeDocument/2006/relationships/hyperlink" Target="https://www.platformazakupowa.pl/" TargetMode="External"/><Relationship Id="rId31" Type="http://schemas.openxmlformats.org/officeDocument/2006/relationships/hyperlink" Target="https://www.platformazakupowa.pl/" TargetMode="External"/><Relationship Id="rId32" Type="http://schemas.openxmlformats.org/officeDocument/2006/relationships/hyperlink" Target="https://www.platformazakupowa.pl/" TargetMode="External"/><Relationship Id="rId33" Type="http://schemas.openxmlformats.org/officeDocument/2006/relationships/hyperlink" Target="https://www.platformazakupowa.pl/" TargetMode="External"/><Relationship Id="rId34" Type="http://schemas.openxmlformats.org/officeDocument/2006/relationships/hyperlink" Target="mailto:wierzchowo@sw.gov.pl" TargetMode="External"/><Relationship Id="rId35" Type="http://schemas.openxmlformats.org/officeDocument/2006/relationships/hyperlink" Target="https://www.platformazakupowa.pl/"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2605</TotalTime>
  <Application>LibreOffice/6.3.2.2$Windows_x86 LibreOffice_project/98b30e735bda24bc04ab42594c85f7fd8be07b9c</Application>
  <Pages>14</Pages>
  <Words>5631</Words>
  <Characters>35647</Characters>
  <CharactersWithSpaces>41739</CharactersWithSpaces>
  <Paragraphs>297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2020-10-12T07:32:00Z</dcterms:created>
  <dc:creator>XXX</dc:creator>
  <dc:description/>
  <dc:language>pl-PL</dc:language>
  <cp:lastModifiedBy/>
  <cp:lastPrinted>2024-08-28T14:48:19Z</cp:lastPrinted>
  <dcterms:modified xsi:type="dcterms:W3CDTF">2024-08-29T13:43:23Z</dcterms:modified>
  <cp:revision>350</cp:revision>
  <dc:subject/>
  <dc:title>specyfikacja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