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E7" w:rsidRDefault="00CB7A80">
      <w:pPr>
        <w:pStyle w:val="Standard"/>
        <w:jc w:val="right"/>
        <w:rPr>
          <w:b/>
          <w:bCs/>
        </w:rPr>
      </w:pPr>
      <w:r>
        <w:rPr>
          <w:b/>
          <w:bCs/>
        </w:rPr>
        <w:t>Załącznik nr 2</w:t>
      </w:r>
    </w:p>
    <w:p w:rsidR="005B18E7" w:rsidRDefault="005B18E7">
      <w:pPr>
        <w:pStyle w:val="Standard"/>
        <w:jc w:val="right"/>
        <w:rPr>
          <w:b/>
          <w:bCs/>
        </w:rPr>
      </w:pPr>
    </w:p>
    <w:p w:rsidR="005B18E7" w:rsidRDefault="00CB7A80">
      <w:pPr>
        <w:pStyle w:val="Standard"/>
        <w:jc w:val="center"/>
      </w:pPr>
      <w:r>
        <w:t>…...........................................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</w:t>
      </w:r>
    </w:p>
    <w:p w:rsidR="005B18E7" w:rsidRDefault="00CB7A80">
      <w:pPr>
        <w:pStyle w:val="Standard"/>
        <w:ind w:left="79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Nazwa i adres oferenta                                                                                                              miejscowość, data</w:t>
      </w:r>
    </w:p>
    <w:p w:rsidR="005B18E7" w:rsidRDefault="005B18E7">
      <w:pPr>
        <w:pStyle w:val="Standard"/>
        <w:jc w:val="center"/>
        <w:rPr>
          <w:b/>
          <w:bCs/>
        </w:rPr>
      </w:pPr>
    </w:p>
    <w:p w:rsidR="005B18E7" w:rsidRDefault="005B18E7">
      <w:pPr>
        <w:pStyle w:val="Standard"/>
        <w:jc w:val="center"/>
        <w:rPr>
          <w:b/>
          <w:bCs/>
        </w:rPr>
      </w:pPr>
    </w:p>
    <w:p w:rsidR="005B18E7" w:rsidRDefault="00CB7A80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5B18E7" w:rsidRDefault="00CB7A80">
      <w:pPr>
        <w:pStyle w:val="Standard"/>
        <w:jc w:val="center"/>
      </w:pPr>
      <w:r>
        <w:t>do zapytania dotyczącego:</w:t>
      </w:r>
    </w:p>
    <w:p w:rsidR="005B18E7" w:rsidRDefault="005B18E7">
      <w:pPr>
        <w:pStyle w:val="Standard"/>
        <w:jc w:val="center"/>
      </w:pPr>
    </w:p>
    <w:p w:rsidR="005B18E7" w:rsidRDefault="00CB7A80">
      <w:pPr>
        <w:pStyle w:val="Standard"/>
        <w:jc w:val="center"/>
        <w:rPr>
          <w:b/>
          <w:bCs/>
        </w:rPr>
      </w:pPr>
      <w:r>
        <w:rPr>
          <w:b/>
          <w:bCs/>
        </w:rPr>
        <w:t>Prowadzenia monitoringu i oceny wpływu na środowisko składowiska odpadów komunalnych w Marcinkowie</w:t>
      </w:r>
    </w:p>
    <w:p w:rsidR="005B18E7" w:rsidRDefault="005B18E7">
      <w:pPr>
        <w:pStyle w:val="Standard"/>
        <w:jc w:val="center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680"/>
        <w:gridCol w:w="975"/>
        <w:gridCol w:w="1005"/>
        <w:gridCol w:w="1500"/>
        <w:gridCol w:w="1035"/>
      </w:tblGrid>
      <w:tr w:rsidR="005B18E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punktów </w:t>
            </w:r>
            <w:proofErr w:type="spellStart"/>
            <w:r>
              <w:rPr>
                <w:b/>
                <w:bCs/>
                <w:sz w:val="20"/>
                <w:szCs w:val="20"/>
              </w:rPr>
              <w:t>pomiaro-wych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serii/</w:t>
            </w:r>
            <w:r>
              <w:rPr>
                <w:b/>
                <w:bCs/>
                <w:sz w:val="20"/>
                <w:szCs w:val="20"/>
              </w:rPr>
              <w:br/>
              <w:t>rok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</w:tr>
      <w:tr w:rsidR="005B18E7" w:rsidTr="00842A7E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wielkości przepływu wód powierzchniowych w cieku okresowym</w:t>
            </w:r>
            <w:r w:rsidR="00E906AE">
              <w:rPr>
                <w:sz w:val="22"/>
                <w:szCs w:val="22"/>
              </w:rPr>
              <w:t xml:space="preserve"> (C-1, C-2)</w:t>
            </w:r>
            <w:r>
              <w:rPr>
                <w:sz w:val="22"/>
                <w:szCs w:val="22"/>
              </w:rPr>
              <w:t>, co sześć miesięcy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27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powierzchniowych w cieku okresowym</w:t>
            </w:r>
            <w:r w:rsidR="00E906AE">
              <w:rPr>
                <w:sz w:val="22"/>
                <w:szCs w:val="22"/>
              </w:rPr>
              <w:t xml:space="preserve"> (C-1, C-2)</w:t>
            </w:r>
            <w:r>
              <w:rPr>
                <w:sz w:val="22"/>
                <w:szCs w:val="22"/>
              </w:rPr>
              <w:t>, co sześć miesięcy,</w:t>
            </w:r>
            <w:r w:rsidR="00E906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zakresie następujących wskaźników: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88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objętości wód odciekowych zgromadzonych w studzienkach kontrolno-drenażowych (Sdr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), co sześć miesięcy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286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odciekowych ze studzienek kontrolno-drenażowych (Sdr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Sdr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), co sześć miesięcy, w zakresie następujących wskaźników: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poziomu wód podziemnych w piezometrach (P-I, P-II, P-III, P-9), co sześć miesięcy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składu wód podziemnych w piezometrach (P-I, P-II, P-III, P-9), co sześć miesięcy, w zakresie następujących wskaźników: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ogólny węgiel organiczny (OWO),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zawartość poszczególnych metali ciężkich (Cu, Zn, Pb, Cd, Cr</w:t>
            </w:r>
            <w:r>
              <w:rPr>
                <w:sz w:val="22"/>
                <w:szCs w:val="22"/>
                <w:vertAlign w:val="superscript"/>
              </w:rPr>
              <w:t>+6</w:t>
            </w:r>
            <w:r>
              <w:rPr>
                <w:sz w:val="22"/>
                <w:szCs w:val="22"/>
              </w:rPr>
              <w:t>, Hg),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ab/>
              <w:t>suma wielopierścieniowych węglowodorów aromatycznych (WWA),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odczyn (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5B18E7" w:rsidRDefault="00CB7A80">
            <w:pPr>
              <w:pStyle w:val="Standard"/>
              <w:widowControl/>
              <w:tabs>
                <w:tab w:val="left" w:pos="240"/>
              </w:tabs>
              <w:ind w:left="6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przewodność elektrolityczna właściwa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9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pomiar emisji gazu </w:t>
            </w:r>
            <w:proofErr w:type="spellStart"/>
            <w:r>
              <w:rPr>
                <w:sz w:val="22"/>
                <w:szCs w:val="22"/>
              </w:rPr>
              <w:t>składowiskowego</w:t>
            </w:r>
            <w:proofErr w:type="spellEnd"/>
            <w:r>
              <w:rPr>
                <w:sz w:val="22"/>
                <w:szCs w:val="22"/>
              </w:rPr>
              <w:t xml:space="preserve"> ze studni odgazowujących składowiska (Sg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8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9</w:t>
            </w:r>
            <w:r>
              <w:rPr>
                <w:sz w:val="22"/>
                <w:szCs w:val="22"/>
              </w:rPr>
              <w:t>), co sześć miesięcy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18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badania składu gazu </w:t>
            </w:r>
            <w:proofErr w:type="spellStart"/>
            <w:r>
              <w:rPr>
                <w:sz w:val="22"/>
                <w:szCs w:val="22"/>
              </w:rPr>
              <w:t>składowiskowego</w:t>
            </w:r>
            <w:proofErr w:type="spellEnd"/>
            <w:r>
              <w:rPr>
                <w:sz w:val="22"/>
                <w:szCs w:val="22"/>
              </w:rPr>
              <w:t xml:space="preserve"> ze studni odgazowujących składowiska (Sg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8</w:t>
            </w:r>
            <w:r>
              <w:rPr>
                <w:sz w:val="22"/>
                <w:szCs w:val="22"/>
              </w:rPr>
              <w:t>, Sg</w:t>
            </w:r>
            <w:r>
              <w:rPr>
                <w:sz w:val="22"/>
                <w:szCs w:val="22"/>
                <w:vertAlign w:val="subscript"/>
              </w:rPr>
              <w:t>9</w:t>
            </w:r>
            <w:r>
              <w:rPr>
                <w:sz w:val="22"/>
                <w:szCs w:val="22"/>
              </w:rPr>
              <w:t>), co sześć miesięcy,</w:t>
            </w:r>
            <w:r w:rsidR="00E906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zakresie następujących wskaźników:</w:t>
            </w:r>
          </w:p>
          <w:p w:rsidR="005B18E7" w:rsidRDefault="00CB7A80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metan (CH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),</w:t>
            </w:r>
          </w:p>
          <w:p w:rsidR="005B18E7" w:rsidRDefault="00CB7A80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dwutlenek węgla (CO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),</w:t>
            </w:r>
          </w:p>
          <w:p w:rsidR="005B18E7" w:rsidRDefault="00CB7A80">
            <w:pPr>
              <w:pStyle w:val="Standard"/>
              <w:widowControl/>
              <w:tabs>
                <w:tab w:val="left" w:pos="2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tlen (O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),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widowControl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sprawności systemu odprowadzania gazu raz w roku w serii jesiennej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11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tabs>
                <w:tab w:val="left" w:pos="4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osiadania powierzchni składowiska</w:t>
            </w:r>
            <w:r w:rsidR="00E906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 stateczności zboczy, raz w roku w serii jesiennej,</w:t>
            </w:r>
            <w:r w:rsidR="00E906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wykorzystaniem metod geodezyjnych</w:t>
            </w:r>
            <w:r w:rsidR="00E906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 geotechnicznych i ustalonych reperów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88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pozyskiwanie danych dotyczących wielkości opadu atmosferycznego ze stacji meteorologicznej reprezentatywnej dla lokalizacji składowiska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 w:rsidTr="00842A7E">
        <w:trPr>
          <w:trHeight w:val="5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Standard"/>
              <w:tabs>
                <w:tab w:val="left" w:pos="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rocznego sprawozdania z prowadzenia monitoringu składowiska w formie papierowej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18E7" w:rsidRDefault="00CB7A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egz.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>
        <w:tc>
          <w:tcPr>
            <w:tcW w:w="861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CB7A80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Razem </w:t>
            </w:r>
            <w:r w:rsidR="00551592">
              <w:rPr>
                <w:i/>
                <w:iCs/>
                <w:sz w:val="22"/>
                <w:szCs w:val="22"/>
              </w:rPr>
              <w:t>wartość</w:t>
            </w:r>
            <w:r>
              <w:rPr>
                <w:i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>
        <w:tc>
          <w:tcPr>
            <w:tcW w:w="861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CB7A80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Stawka VAT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B18E7">
        <w:tc>
          <w:tcPr>
            <w:tcW w:w="861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CB7A80">
            <w:pPr>
              <w:pStyle w:val="TableContents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Razem </w:t>
            </w:r>
            <w:r w:rsidR="00551592">
              <w:rPr>
                <w:i/>
                <w:iCs/>
                <w:sz w:val="22"/>
                <w:szCs w:val="22"/>
              </w:rPr>
              <w:t>wartość</w:t>
            </w:r>
            <w:r>
              <w:rPr>
                <w:i/>
                <w:iCs/>
                <w:sz w:val="22"/>
                <w:szCs w:val="22"/>
              </w:rPr>
              <w:t xml:space="preserve"> brutto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18E7" w:rsidRDefault="005B18E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5B18E7" w:rsidRDefault="005B18E7">
      <w:pPr>
        <w:pStyle w:val="Standard"/>
        <w:jc w:val="center"/>
      </w:pPr>
    </w:p>
    <w:p w:rsidR="005B18E7" w:rsidRDefault="00CB7A80">
      <w:pPr>
        <w:pStyle w:val="Standard"/>
        <w:ind w:right="-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 do dnia </w:t>
      </w:r>
      <w:r w:rsidR="00E906AE">
        <w:rPr>
          <w:sz w:val="22"/>
          <w:szCs w:val="22"/>
        </w:rPr>
        <w:t>28</w:t>
      </w:r>
      <w:r>
        <w:rPr>
          <w:sz w:val="22"/>
          <w:szCs w:val="22"/>
        </w:rPr>
        <w:t>.0</w:t>
      </w:r>
      <w:r w:rsidR="00E906AE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EA649D">
        <w:rPr>
          <w:sz w:val="22"/>
          <w:szCs w:val="22"/>
        </w:rPr>
        <w:t>5</w:t>
      </w:r>
      <w:r>
        <w:rPr>
          <w:sz w:val="22"/>
          <w:szCs w:val="22"/>
        </w:rPr>
        <w:t xml:space="preserve"> r., w tym:</w:t>
      </w:r>
    </w:p>
    <w:p w:rsidR="005B18E7" w:rsidRDefault="00CB7A80">
      <w:pPr>
        <w:pStyle w:val="Standard"/>
        <w:tabs>
          <w:tab w:val="left" w:pos="720"/>
          <w:tab w:val="left" w:pos="2700"/>
        </w:tabs>
        <w:ind w:right="-1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termin wykonania: </w:t>
      </w:r>
      <w:r>
        <w:rPr>
          <w:sz w:val="22"/>
          <w:szCs w:val="22"/>
        </w:rPr>
        <w:tab/>
        <w:t xml:space="preserve">I serii badań – do </w:t>
      </w:r>
      <w:r w:rsidR="00EA649D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EA649D">
        <w:rPr>
          <w:sz w:val="22"/>
          <w:szCs w:val="22"/>
        </w:rPr>
        <w:t>lipca</w:t>
      </w:r>
      <w:r>
        <w:rPr>
          <w:sz w:val="22"/>
          <w:szCs w:val="22"/>
        </w:rPr>
        <w:t xml:space="preserve"> 20</w:t>
      </w:r>
      <w:r w:rsidR="00B46617">
        <w:rPr>
          <w:sz w:val="22"/>
          <w:szCs w:val="22"/>
        </w:rPr>
        <w:t>2</w:t>
      </w:r>
      <w:r w:rsidR="00EA649D">
        <w:rPr>
          <w:sz w:val="22"/>
          <w:szCs w:val="22"/>
        </w:rPr>
        <w:t>4</w:t>
      </w:r>
      <w:r>
        <w:rPr>
          <w:sz w:val="22"/>
          <w:szCs w:val="22"/>
        </w:rPr>
        <w:t xml:space="preserve"> roku</w:t>
      </w:r>
    </w:p>
    <w:p w:rsidR="005B18E7" w:rsidRDefault="00CB7A80">
      <w:pPr>
        <w:pStyle w:val="Standard"/>
        <w:tabs>
          <w:tab w:val="left" w:pos="2700"/>
        </w:tabs>
        <w:ind w:right="-15"/>
        <w:jc w:val="both"/>
        <w:rPr>
          <w:sz w:val="22"/>
          <w:szCs w:val="22"/>
        </w:rPr>
      </w:pPr>
      <w:r>
        <w:rPr>
          <w:sz w:val="22"/>
          <w:szCs w:val="22"/>
        </w:rPr>
        <w:tab/>
        <w:t>II serii badań – do 31 grudnia 20</w:t>
      </w:r>
      <w:r w:rsidR="00B46617">
        <w:rPr>
          <w:sz w:val="22"/>
          <w:szCs w:val="22"/>
        </w:rPr>
        <w:t>2</w:t>
      </w:r>
      <w:r w:rsidR="00EA649D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 xml:space="preserve"> roku</w:t>
      </w:r>
    </w:p>
    <w:p w:rsidR="005B18E7" w:rsidRDefault="005B18E7">
      <w:pPr>
        <w:pStyle w:val="Standard"/>
        <w:jc w:val="center"/>
      </w:pPr>
    </w:p>
    <w:p w:rsidR="005B18E7" w:rsidRDefault="005B18E7">
      <w:pPr>
        <w:pStyle w:val="Standard"/>
        <w:jc w:val="center"/>
      </w:pPr>
    </w:p>
    <w:p w:rsidR="005B18E7" w:rsidRDefault="005B18E7">
      <w:pPr>
        <w:pStyle w:val="Standard"/>
        <w:jc w:val="center"/>
      </w:pPr>
    </w:p>
    <w:p w:rsidR="005B18E7" w:rsidRDefault="005B18E7">
      <w:pPr>
        <w:pStyle w:val="Standard"/>
        <w:jc w:val="center"/>
      </w:pPr>
    </w:p>
    <w:p w:rsidR="005B18E7" w:rsidRDefault="00CB7A80">
      <w:pPr>
        <w:pStyle w:val="Standard"/>
        <w:ind w:left="5955"/>
        <w:jc w:val="center"/>
      </w:pPr>
      <w:r>
        <w:t>…............................................</w:t>
      </w:r>
    </w:p>
    <w:p w:rsidR="005B18E7" w:rsidRDefault="00CB7A80">
      <w:pPr>
        <w:pStyle w:val="Standard"/>
        <w:ind w:left="595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pieczęć i podpis</w:t>
      </w:r>
    </w:p>
    <w:sectPr w:rsidR="005B18E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4E" w:rsidRDefault="00CB7A80">
      <w:r>
        <w:separator/>
      </w:r>
    </w:p>
  </w:endnote>
  <w:endnote w:type="continuationSeparator" w:id="0">
    <w:p w:rsidR="001F424E" w:rsidRDefault="00CB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4E" w:rsidRDefault="00CB7A80">
      <w:r>
        <w:rPr>
          <w:color w:val="000000"/>
        </w:rPr>
        <w:separator/>
      </w:r>
    </w:p>
  </w:footnote>
  <w:footnote w:type="continuationSeparator" w:id="0">
    <w:p w:rsidR="001F424E" w:rsidRDefault="00CB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E7"/>
    <w:rsid w:val="001F424E"/>
    <w:rsid w:val="004E7C19"/>
    <w:rsid w:val="00551592"/>
    <w:rsid w:val="005B18E7"/>
    <w:rsid w:val="006D2B5C"/>
    <w:rsid w:val="00842A7E"/>
    <w:rsid w:val="00B46617"/>
    <w:rsid w:val="00CB7A80"/>
    <w:rsid w:val="00E906AE"/>
    <w:rsid w:val="00E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9B8E"/>
  <w15:docId w15:val="{1EAC9CCE-500D-4C17-B36A-BCDECFC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ES. Strzelec</dc:creator>
  <cp:lastModifiedBy>Eliza Strzelec</cp:lastModifiedBy>
  <cp:revision>2</cp:revision>
  <cp:lastPrinted>2023-04-28T09:42:00Z</cp:lastPrinted>
  <dcterms:created xsi:type="dcterms:W3CDTF">2024-06-04T13:28:00Z</dcterms:created>
  <dcterms:modified xsi:type="dcterms:W3CDTF">2024-06-04T13:28:00Z</dcterms:modified>
</cp:coreProperties>
</file>