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8"/>
        <w:gridCol w:w="3829"/>
        <w:gridCol w:w="12"/>
        <w:gridCol w:w="2332"/>
        <w:gridCol w:w="1464"/>
        <w:gridCol w:w="160"/>
      </w:tblGrid>
      <w:tr w:rsidR="00E17B9C">
        <w:trPr>
          <w:trHeight w:val="213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pageBreakBefore/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Podział na laboratoria (zadania)</w:t>
            </w:r>
          </w:p>
        </w:tc>
        <w:tc>
          <w:tcPr>
            <w:tcW w:w="384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956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17B9C">
        <w:trPr>
          <w:trHeight w:val="618"/>
        </w:trPr>
        <w:tc>
          <w:tcPr>
            <w:tcW w:w="58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Laboratorium integracji procesów – laboratorium 1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Wartość cenowa brutto.</w:t>
            </w:r>
          </w:p>
          <w:p w:rsidR="00E17B9C" w:rsidRDefault="00E17B9C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Czas dostawy</w:t>
            </w:r>
          </w:p>
          <w:p w:rsidR="00E17B9C" w:rsidRDefault="001502FE">
            <w:pPr>
              <w:widowControl w:val="0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(miesiące od daty podpisania umowy)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6 - Stanowisko nauczyciela S01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Stanowisko nauczyciela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S01</w:t>
            </w: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8 - Stanowisko studenta,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1, poz. 9 - Stół studencki podwójny S02,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1, poz. 10 - Stół studencki pojedynczy S03,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 xml:space="preserve">Zadanie 1,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poz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11 - Dodatkowe krzesła studenckie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studenta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2, poz.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1 - Serwer lokalny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Serwer lokalny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2, poz. 2 – Przełącznik sieciowy,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2, poz. 3 – Panel Krosowy,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2, poz. 4 – Szafka 19’’,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2, poz. 5 - Kabel sieciowy i materiały do budowy sieci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Sieć lokalna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Zadanie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6, poz. 1 - Środowisko do modelowania procesów przemysłowych,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6, poz. 2 - Uniwersalne narzędzie do programowania robotów w trybie offline,</w:t>
            </w:r>
          </w:p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6, poz. 3 – Oprogramowanie narzędziowe do robotów, razem ze szkoleniem (max. 3 osoby, min. 15 godzin/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Oprogramowanie cz. I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1 – Stanowisko R01 - Stanowisko podejmowania elementów z kamerą 3D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Stanowisko R01 Stanowisko podejmowania elementów z kamerą 3D 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2 - Stanowisko R02 - Stanowisko inspekcji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optycznej i montażu, razem ze szkoleniem (max. 3 osoby,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>min. 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lastRenderedPageBreak/>
              <w:t xml:space="preserve">Stanowisko R02 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 inspekcji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 optycznej i montażu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3 – Stanowisko R03 - Automatyczny podajnik części, razem ze szkoleniem (max. 3 osoby, min. 3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godziny/osoba)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R03 Automatyczny podajnik części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4 – Stanowisko R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04  Stanowisko</w:t>
            </w:r>
            <w:proofErr w:type="gramEnd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montażu i kontroli jakości, razem ze szkoleniem (max. 3 osoby, min. 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Stanowisko R04 Stanowisko montażu 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i  kontroli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 jakośc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i 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 miesięcy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5 – Stanowisko R05 Stanowisko manipulacji obiektów delikatnych, razem ze szkoleniem (max. 3 osoby, min. 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R05 Stanowisko manipulacji obiektów delikatnych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Zadanie 1, poz. 12 – Modułowy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system bezpieczeństwa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Modułowy system bezpieczeństwa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Zadanie 1, poz. 13 – Szafa zamykana drzwi stalowe, </w:t>
            </w:r>
          </w:p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14 – Szafa zamykana witryna 1000,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1, poz. 15 – Szafa zamykana witryna 600</w:t>
            </w:r>
          </w:p>
        </w:tc>
        <w:tc>
          <w:tcPr>
            <w:tcW w:w="384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Szafa zamykana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Laboratorium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 wirtualizacji 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procesów  laboratorium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 2</w:t>
            </w:r>
          </w:p>
        </w:tc>
        <w:tc>
          <w:tcPr>
            <w:tcW w:w="384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BF00"/>
            <w:vAlign w:val="center"/>
          </w:tcPr>
          <w:p w:rsidR="00E17B9C" w:rsidRDefault="00E17B9C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3, poz. 4 – Stanowisko studenta S03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studenta S03</w:t>
            </w: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420"/>
        </w:trPr>
        <w:tc>
          <w:tcPr>
            <w:tcW w:w="58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 xml:space="preserve">Zadanie 3, poz. 1 – Stanowisko D01 - Przenośne stanowisko demonstracyjne, razem ze szkoleniem (max. 3 osoby, min. 3 </w:t>
            </w: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godziny/osoba)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Stanowisko D01 Przenośne stanowisko demonstracyjne </w:t>
            </w: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 miesięcy</w:t>
            </w:r>
          </w:p>
        </w:tc>
      </w:tr>
      <w:tr w:rsidR="00E17B9C">
        <w:trPr>
          <w:trHeight w:val="420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3, poz. 2 – Stanowisko R06 - Stanowisko robota kolaboracyjnego, razem ze szkoleniem (max. 3 osoby, min. 3 godziny/osoba)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Stanowisko R06 Stanowisko robota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kolaboracyjnego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 miesięcy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3, poz. 3 – Stanowisko W01 - Stanowisko symulatora spawania, razem ze szkoleniem (max. 3 osoby, min. 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W01 Stanowisko symulatora spawania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300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Laboratorium sieci przemysłowych –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laboratorium 3</w:t>
            </w:r>
          </w:p>
        </w:tc>
        <w:tc>
          <w:tcPr>
            <w:tcW w:w="384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BF00"/>
            <w:vAlign w:val="center"/>
          </w:tcPr>
          <w:p w:rsidR="00E17B9C" w:rsidRDefault="00E17B9C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1, poz. 7 – Urządzenie wielofunkcyjne</w:t>
            </w:r>
          </w:p>
        </w:tc>
        <w:tc>
          <w:tcPr>
            <w:tcW w:w="384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Urządzenie wielofunkcyjne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lastRenderedPageBreak/>
              <w:t>Zadanie 4, poz. 1 – Zestaw szkoleniowy PLC, razem ze szkoleniem (max. 3 osoby, min. 15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 xml:space="preserve">Zestaw szkoleniowy PLC 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 xml:space="preserve">Zadanie 4, </w:t>
            </w: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poz. 2 – Podstawowy zestaw PLC, razem ze szkoleniem (max. 3 osoby, min. 15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Podstawowy zestaw PLC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3 - Moduły do podstawowego zestawu PLC, razem ze szkoleniem (max. 3 osoby, min. 3 godziny/osoba)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Moduły do podstawow</w:t>
            </w: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ego zestawu PLC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4 – Stanowisko PLC I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PLC I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5 – Stanowisko PLC II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PLC II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6 – Stanowisko PLC III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PLC III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 xml:space="preserve">Zadanie 4, poz. 7 – </w:t>
            </w: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Stanowisko PLC IV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PLC IV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8 – Stanowisko PLC V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PLC V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6, poz. 4 – Środowisko programowania sterowników PLC, razem ze szkoleniem (max. 3 osoby, min. 15 godzin/osoba)</w:t>
            </w:r>
            <w:r>
              <w:rPr>
                <w:rFonts w:ascii="Cambria" w:eastAsia="Times New Roman" w:hAnsi="Cambria" w:cs="Calibri"/>
                <w:color w:val="006000"/>
                <w:lang w:eastAsia="pl-PL"/>
              </w:rPr>
              <w:br/>
            </w:r>
            <w:r>
              <w:rPr>
                <w:rFonts w:ascii="Cambria" w:eastAsia="Times New Roman" w:hAnsi="Cambria" w:cs="Calibri"/>
                <w:color w:val="006000"/>
                <w:lang w:eastAsia="pl-PL"/>
              </w:rPr>
              <w:t xml:space="preserve">Zadanie 6, poz. 5 – Program do symulacji przemysłowych procesów dyskretnych, 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Oprogramowanie cz. II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9 – Stanowisko druku 3D w technologii FDM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druku 3D w technologii FDM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 xml:space="preserve">Zadanie 4, poz. 10 – Stanowisko </w:t>
            </w:r>
            <w:r>
              <w:rPr>
                <w:rFonts w:ascii="Cambria" w:eastAsia="Times New Roman" w:hAnsi="Cambria" w:cs="Calibri"/>
                <w:color w:val="006000"/>
                <w:lang w:eastAsia="pl-PL"/>
              </w:rPr>
              <w:t xml:space="preserve">druku 3D w technologii FDM oraz zabiegów </w:t>
            </w:r>
            <w:proofErr w:type="spellStart"/>
            <w:r>
              <w:rPr>
                <w:rFonts w:ascii="Cambria" w:eastAsia="Times New Roman" w:hAnsi="Cambria" w:cs="Calibri"/>
                <w:color w:val="006000"/>
                <w:lang w:eastAsia="pl-PL"/>
              </w:rPr>
              <w:t>postprocesowych</w:t>
            </w:r>
            <w:proofErr w:type="spellEnd"/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druku 3D w technologii FDM oraz zabiegów post procesowych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11 - Stanowisko druku 3D w technologii DLP, razem ze szkoleniem (max. 3 osoby, min. 5 godzin/osoba)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druku 3D w technologii DLP</w:t>
            </w: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12 – Urządzenie mobilne do akwizycji danych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Urządzenie mobilne do akwizycji danych</w:t>
            </w:r>
          </w:p>
        </w:tc>
        <w:tc>
          <w:tcPr>
            <w:tcW w:w="2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E17B9C">
        <w:trPr>
          <w:trHeight w:val="645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Laboratorium napędów przemysłowych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E17B9C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4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E17B9C" w:rsidRDefault="00E17B9C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BF00"/>
            <w:vAlign w:val="center"/>
          </w:tcPr>
          <w:p w:rsidR="00E17B9C" w:rsidRDefault="00E17B9C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E17B9C">
        <w:trPr>
          <w:trHeight w:val="420"/>
        </w:trPr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D"/>
            <w:vAlign w:val="bottom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>Zadanie 5, poz. 1 - Zaawansowane</w:t>
            </w:r>
          </w:p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stanowisko napędów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pneumatycznych i elektropneumatycznych, razem ze szkoleniem (max. 3 osoby, min. 3 godziny/osoba),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5, poz. 2 – Zaawansowane stanowisko</w:t>
            </w:r>
          </w:p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napędów hydraulicznych i elektrohydraulicznych, razem ze szkoleniem (max. 3 osoby, min. 3 godziny/osoba),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 xml:space="preserve">Zadanie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5, poz. 3 – Stanowisko demonstracyjne napędów hydraulicznych, razem ze szkoleniem (max. 3 osoby, min. 3 godziny/osoba),</w:t>
            </w:r>
          </w:p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5, poz. 4 – Zaawansowane stanowisko</w:t>
            </w:r>
          </w:p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technik podciśnieniowych, razem ze szkoleniem (max. 3 osoby, min. 3 godziny/osoba),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 xml:space="preserve">Zadanie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5, poz. 5 – Zaawansowane oprogramowanie do projektowania i symulacji</w:t>
            </w:r>
          </w:p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obwodów pneumatycznych, hydraulicznych, elektrycznych i elektronicznych, razem ze szkoleniem (max. 3 osoby, min. 3 godziny/osoba),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5, poz. 6 – Oprogramowanie do projektowania obw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odów pneumatycznych i hydraulicznych, razem ze szkoleniem (max. 3 osoby, min. 3 godziny/osoba)</w:t>
            </w:r>
          </w:p>
        </w:tc>
        <w:tc>
          <w:tcPr>
            <w:tcW w:w="3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000000" w:fill="C6EFCD"/>
            <w:vAlign w:val="center"/>
          </w:tcPr>
          <w:p w:rsidR="00E17B9C" w:rsidRDefault="001502FE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Laboratorium napędów przemysłowych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B9C" w:rsidRDefault="001502FE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E17B9C">
        <w:trPr>
          <w:trHeight w:val="100"/>
        </w:trPr>
        <w:tc>
          <w:tcPr>
            <w:tcW w:w="5807" w:type="dxa"/>
          </w:tcPr>
          <w:p w:rsidR="00E17B9C" w:rsidRDefault="00E17B9C">
            <w:pPr>
              <w:widowControl w:val="0"/>
              <w:rPr>
                <w:rFonts w:ascii="Cambria" w:hAnsi="Cambria"/>
                <w:b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9C" w:rsidRDefault="001502FE">
            <w:pPr>
              <w:widowControl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</w:rPr>
              <w:t>Wartość brutto oferty:</w:t>
            </w:r>
          </w:p>
        </w:tc>
        <w:tc>
          <w:tcPr>
            <w:tcW w:w="395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17B9C" w:rsidRDefault="00E17B9C">
            <w:pPr>
              <w:widowControl w:val="0"/>
              <w:rPr>
                <w:rFonts w:ascii="Cambria" w:hAnsi="Cambria"/>
              </w:rPr>
            </w:pPr>
          </w:p>
        </w:tc>
      </w:tr>
      <w:tr w:rsidR="00E17B9C">
        <w:trPr>
          <w:trHeight w:val="100"/>
        </w:trPr>
        <w:tc>
          <w:tcPr>
            <w:tcW w:w="5807" w:type="dxa"/>
          </w:tcPr>
          <w:p w:rsidR="00E17B9C" w:rsidRDefault="00E17B9C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7637" w:type="dxa"/>
            <w:gridSpan w:val="4"/>
            <w:tcBorders>
              <w:top w:val="single" w:sz="4" w:space="0" w:color="000000"/>
            </w:tcBorders>
          </w:tcPr>
          <w:p w:rsidR="00E17B9C" w:rsidRDefault="00E17B9C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160" w:type="dxa"/>
          </w:tcPr>
          <w:p w:rsidR="00E17B9C" w:rsidRDefault="00E17B9C">
            <w:pPr>
              <w:widowControl w:val="0"/>
            </w:pPr>
          </w:p>
        </w:tc>
      </w:tr>
    </w:tbl>
    <w:p w:rsidR="00E17B9C" w:rsidRDefault="00E17B9C">
      <w:pPr>
        <w:rPr>
          <w:rFonts w:ascii="Cambria" w:hAnsi="Cambria"/>
        </w:rPr>
      </w:pPr>
    </w:p>
    <w:p w:rsidR="00E17B9C" w:rsidRDefault="001502FE"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Wykonawca składa formularz asortymentowo-cenowy z rozbiciem kwot na poszczególne pozycje. </w:t>
      </w:r>
    </w:p>
    <w:p w:rsidR="00E17B9C" w:rsidRDefault="001502FE"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Załącznik nr 2a stanowi podstawę do sporządzenia załącznika do umowy – harmonogramu płatności. </w:t>
      </w:r>
    </w:p>
    <w:p w:rsidR="00E17B9C" w:rsidRDefault="001502FE"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Wartość brutto oferty musi być tożsama z wartością wpisała w formular</w:t>
      </w:r>
      <w:r>
        <w:rPr>
          <w:rFonts w:ascii="Cambria" w:hAnsi="Cambria"/>
          <w:color w:val="FF0000"/>
        </w:rPr>
        <w:t>zu ofertowym (cena oferty brutto).</w:t>
      </w:r>
    </w:p>
    <w:p w:rsidR="00E17B9C" w:rsidRDefault="00E17B9C">
      <w:pPr>
        <w:jc w:val="center"/>
        <w:rPr>
          <w:rFonts w:ascii="Cambria" w:hAnsi="Cambria"/>
          <w:color w:val="FF0000"/>
        </w:rPr>
      </w:pPr>
    </w:p>
    <w:p w:rsidR="00E17B9C" w:rsidRDefault="00E17B9C">
      <w:pPr>
        <w:jc w:val="center"/>
        <w:rPr>
          <w:rFonts w:ascii="Cambria" w:hAnsi="Cambria"/>
          <w:color w:val="FF0000"/>
        </w:rPr>
      </w:pPr>
    </w:p>
    <w:p w:rsidR="00E17B9C" w:rsidRDefault="001502FE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  <w:lang w:val="pl-PL"/>
        </w:rPr>
      </w:pPr>
      <w:r>
        <w:rPr>
          <w:rFonts w:ascii="Cambria" w:hAnsi="Cambria"/>
          <w:bCs/>
          <w:i/>
          <w:sz w:val="16"/>
          <w:szCs w:val="16"/>
          <w:lang w:val="pl-PL"/>
        </w:rPr>
        <w:t>……………………………………………………………….</w:t>
      </w:r>
    </w:p>
    <w:p w:rsidR="00E17B9C" w:rsidRDefault="001502FE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  <w:lang w:val="pl-PL"/>
        </w:rPr>
      </w:pPr>
      <w:r>
        <w:rPr>
          <w:rFonts w:ascii="Cambria" w:hAnsi="Cambria"/>
          <w:bCs/>
          <w:i/>
          <w:sz w:val="16"/>
          <w:szCs w:val="16"/>
          <w:lang w:val="pl-PL"/>
        </w:rPr>
        <w:t xml:space="preserve">Kwalifikowany podpis elektroniczny złożony  </w:t>
      </w:r>
    </w:p>
    <w:p w:rsidR="00E17B9C" w:rsidRDefault="001502FE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  <w:lang w:val="pl-PL"/>
        </w:rPr>
      </w:pPr>
      <w:r>
        <w:rPr>
          <w:rFonts w:ascii="Cambria" w:hAnsi="Cambria"/>
          <w:bCs/>
          <w:i/>
          <w:sz w:val="16"/>
          <w:szCs w:val="16"/>
          <w:lang w:val="pl-PL"/>
        </w:rPr>
        <w:t>przez osobę(osoby) uprawnioną-e</w:t>
      </w:r>
    </w:p>
    <w:p w:rsidR="00E17B9C" w:rsidRDefault="00E17B9C">
      <w:pPr>
        <w:jc w:val="center"/>
        <w:rPr>
          <w:rFonts w:ascii="Cambria" w:hAnsi="Cambria"/>
          <w:color w:val="FF0000"/>
        </w:rPr>
      </w:pPr>
    </w:p>
    <w:sectPr w:rsidR="00E17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FE" w:rsidRDefault="001502FE">
      <w:pPr>
        <w:spacing w:after="0" w:line="240" w:lineRule="auto"/>
      </w:pPr>
      <w:r>
        <w:separator/>
      </w:r>
    </w:p>
  </w:endnote>
  <w:endnote w:type="continuationSeparator" w:id="0">
    <w:p w:rsidR="001502FE" w:rsidRDefault="0015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9C" w:rsidRDefault="00E17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9C" w:rsidRDefault="00E17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9C" w:rsidRDefault="00E17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FE" w:rsidRDefault="001502FE">
      <w:pPr>
        <w:spacing w:after="0" w:line="240" w:lineRule="auto"/>
      </w:pPr>
      <w:r>
        <w:separator/>
      </w:r>
    </w:p>
  </w:footnote>
  <w:footnote w:type="continuationSeparator" w:id="0">
    <w:p w:rsidR="001502FE" w:rsidRDefault="0015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9C" w:rsidRDefault="00E17B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9C" w:rsidRDefault="001502FE">
    <w:pPr>
      <w:pStyle w:val="Nagwek"/>
      <w:rPr>
        <w:rFonts w:ascii="Cambria" w:eastAsia="Times New Roman" w:hAnsi="Cambria"/>
        <w:b/>
        <w:bCs/>
        <w:sz w:val="20"/>
        <w:szCs w:val="20"/>
        <w:lang w:eastAsia="pl-PL"/>
      </w:rPr>
    </w:pPr>
    <w:r>
      <w:rPr>
        <w:rFonts w:ascii="Cambria" w:hAnsi="Cambria"/>
        <w:b/>
        <w:color w:val="FF0000"/>
        <w:u w:val="single"/>
      </w:rPr>
      <w:t>Zmieniony załącznik nr 2a do SWZ</w:t>
    </w:r>
    <w:r>
      <w:rPr>
        <w:rFonts w:ascii="Cambria" w:hAnsi="Cambria"/>
        <w:color w:val="FF0000"/>
      </w:rPr>
      <w:t xml:space="preserve"> </w:t>
    </w:r>
    <w:r w:rsidR="006B2ED2">
      <w:rPr>
        <w:rFonts w:ascii="Cambria" w:hAnsi="Cambria"/>
        <w:color w:val="FF0000"/>
      </w:rPr>
      <w:t xml:space="preserve">(wersja nr </w:t>
    </w:r>
    <w:r w:rsidR="006B2ED2">
      <w:rPr>
        <w:rFonts w:ascii="Cambria" w:hAnsi="Cambria"/>
        <w:color w:val="FF0000"/>
      </w:rPr>
      <w:t>3)</w:t>
    </w:r>
    <w:bookmarkStart w:id="0" w:name="_GoBack"/>
    <w:bookmarkEnd w:id="0"/>
    <w:r>
      <w:rPr>
        <w:rFonts w:ascii="Cambria" w:hAnsi="Cambria"/>
      </w:rPr>
      <w:t xml:space="preserve">- </w:t>
    </w:r>
    <w:r>
      <w:rPr>
        <w:rFonts w:ascii="Cambria" w:eastAsia="Times New Roman" w:hAnsi="Cambria" w:cs="Calibri"/>
        <w:sz w:val="20"/>
        <w:szCs w:val="20"/>
        <w:lang w:eastAsia="ar-SA"/>
      </w:rPr>
      <w:t>Formularz</w:t>
    </w:r>
    <w:r>
      <w:rPr>
        <w:rFonts w:ascii="Cambria" w:eastAsia="Times New Roman" w:hAnsi="Cambria" w:cs="Calibri"/>
        <w:sz w:val="20"/>
        <w:szCs w:val="20"/>
        <w:lang w:eastAsia="ar-SA"/>
      </w:rPr>
      <w:t xml:space="preserve"> asortymentowo - cenowy dla postępowania </w:t>
    </w:r>
    <w:r>
      <w:rPr>
        <w:rFonts w:ascii="Cambria" w:eastAsia="Times New Roman" w:hAnsi="Cambria"/>
        <w:b/>
        <w:bCs/>
        <w:sz w:val="20"/>
        <w:szCs w:val="20"/>
        <w:lang w:eastAsia="pl-PL"/>
      </w:rPr>
      <w:t>„</w:t>
    </w:r>
    <w:r>
      <w:rPr>
        <w:rFonts w:ascii="Cambria" w:hAnsi="Cambria"/>
        <w:sz w:val="20"/>
        <w:szCs w:val="20"/>
      </w:rPr>
      <w:t>Dostawa kompletnego wyposażenia laboratorium dla Wschodniego Centrum Nauki i Robotyki w formie zespołu zintegrowanych stanowisk laboratoryjnych do prowadzenia badań i do praktycznego nauczania procesów komunikacyjn</w:t>
    </w:r>
    <w:r>
      <w:rPr>
        <w:rFonts w:ascii="Cambria" w:hAnsi="Cambria"/>
        <w:sz w:val="20"/>
        <w:szCs w:val="20"/>
      </w:rPr>
      <w:t>ych i sterujących, typowych dla współczesnych sieci i systemów przemysłowych</w:t>
    </w:r>
    <w:r>
      <w:rPr>
        <w:rFonts w:ascii="Cambria" w:eastAsia="Times New Roman" w:hAnsi="Cambria"/>
        <w:b/>
        <w:bCs/>
        <w:sz w:val="20"/>
        <w:szCs w:val="20"/>
        <w:lang w:eastAsia="pl-PL"/>
      </w:rPr>
      <w:t xml:space="preserve">” </w:t>
    </w:r>
  </w:p>
  <w:p w:rsidR="00E17B9C" w:rsidRDefault="001502FE">
    <w:pPr>
      <w:pStyle w:val="Nagwek"/>
      <w:rPr>
        <w:rFonts w:ascii="Cambria" w:eastAsia="Times New Roman" w:hAnsi="Cambria" w:cs="Calibri"/>
        <w:sz w:val="20"/>
        <w:szCs w:val="20"/>
        <w:lang w:eastAsia="ar-SA"/>
      </w:rPr>
    </w:pPr>
    <w:r>
      <w:rPr>
        <w:rFonts w:ascii="Cambria" w:eastAsia="Times New Roman" w:hAnsi="Cambria" w:cs="Calibri"/>
        <w:b/>
        <w:sz w:val="20"/>
        <w:szCs w:val="20"/>
        <w:lang w:eastAsia="ar-SA"/>
      </w:rPr>
      <w:t xml:space="preserve">Nr sprawy KP-272-PNU-52/2024 </w:t>
    </w:r>
  </w:p>
  <w:p w:rsidR="00E17B9C" w:rsidRDefault="001502FE">
    <w:pPr>
      <w:pStyle w:val="Nagwek"/>
      <w:rPr>
        <w:rFonts w:ascii="Cambria" w:hAnsi="Cambria"/>
        <w:color w:val="FF0000"/>
      </w:rPr>
    </w:pPr>
    <w:r>
      <w:rPr>
        <w:rFonts w:ascii="Cambria" w:hAnsi="Cambria"/>
        <w:color w:val="FF0000"/>
      </w:rPr>
      <w:t xml:space="preserve">Składany przez Wykonawcę wraz z ofertą.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9C" w:rsidRDefault="001502FE">
    <w:pPr>
      <w:pStyle w:val="Nagwek"/>
      <w:rPr>
        <w:rFonts w:ascii="Cambria" w:eastAsia="Times New Roman" w:hAnsi="Cambria"/>
        <w:b/>
        <w:bCs/>
        <w:sz w:val="20"/>
        <w:szCs w:val="20"/>
        <w:lang w:eastAsia="pl-PL"/>
      </w:rPr>
    </w:pPr>
    <w:r>
      <w:rPr>
        <w:rFonts w:ascii="Cambria" w:hAnsi="Cambria"/>
        <w:b/>
        <w:color w:val="FF0000"/>
        <w:u w:val="single"/>
      </w:rPr>
      <w:t>Zmieniony załącznik nr 2a do SWZ</w:t>
    </w:r>
    <w:r>
      <w:rPr>
        <w:rFonts w:ascii="Cambria" w:hAnsi="Cambria"/>
        <w:color w:val="FF0000"/>
      </w:rPr>
      <w:t xml:space="preserve"> </w:t>
    </w:r>
    <w:r>
      <w:rPr>
        <w:rFonts w:ascii="Cambria" w:hAnsi="Cambria"/>
      </w:rPr>
      <w:t xml:space="preserve">- </w:t>
    </w:r>
    <w:r>
      <w:rPr>
        <w:rFonts w:ascii="Cambria" w:eastAsia="Times New Roman" w:hAnsi="Cambria" w:cs="Calibri"/>
        <w:sz w:val="20"/>
        <w:szCs w:val="20"/>
        <w:lang w:eastAsia="ar-SA"/>
      </w:rPr>
      <w:t xml:space="preserve">Formularz asortymentowo - cenowy dla postępowania </w:t>
    </w:r>
    <w:r>
      <w:rPr>
        <w:rFonts w:ascii="Cambria" w:eastAsia="Times New Roman" w:hAnsi="Cambria"/>
        <w:b/>
        <w:bCs/>
        <w:sz w:val="20"/>
        <w:szCs w:val="20"/>
        <w:lang w:eastAsia="pl-PL"/>
      </w:rPr>
      <w:t>„</w:t>
    </w:r>
    <w:r>
      <w:rPr>
        <w:rFonts w:ascii="Cambria" w:hAnsi="Cambria"/>
        <w:sz w:val="20"/>
        <w:szCs w:val="20"/>
      </w:rPr>
      <w:t xml:space="preserve">Dostawa kompletnego </w:t>
    </w:r>
    <w:r>
      <w:rPr>
        <w:rFonts w:ascii="Cambria" w:hAnsi="Cambria"/>
        <w:sz w:val="20"/>
        <w:szCs w:val="20"/>
      </w:rPr>
      <w:t>wyposażenia laboratorium dla Wschodniego Centrum Nauki i Robotyki w formie zespołu zintegrowanych stanowisk laboratoryjnych do prowadzenia badań i do praktycznego nauczania procesów komunikacyjnych i sterujących, typowych dla współczesnych sieci i systemów</w:t>
    </w:r>
    <w:r>
      <w:rPr>
        <w:rFonts w:ascii="Cambria" w:hAnsi="Cambria"/>
        <w:sz w:val="20"/>
        <w:szCs w:val="20"/>
      </w:rPr>
      <w:t xml:space="preserve"> przemysłowych</w:t>
    </w:r>
    <w:r>
      <w:rPr>
        <w:rFonts w:ascii="Cambria" w:eastAsia="Times New Roman" w:hAnsi="Cambria"/>
        <w:b/>
        <w:bCs/>
        <w:sz w:val="20"/>
        <w:szCs w:val="20"/>
        <w:lang w:eastAsia="pl-PL"/>
      </w:rPr>
      <w:t xml:space="preserve">” </w:t>
    </w:r>
  </w:p>
  <w:p w:rsidR="00E17B9C" w:rsidRDefault="001502FE">
    <w:pPr>
      <w:pStyle w:val="Nagwek"/>
      <w:rPr>
        <w:rFonts w:ascii="Cambria" w:eastAsia="Times New Roman" w:hAnsi="Cambria" w:cs="Calibri"/>
        <w:sz w:val="20"/>
        <w:szCs w:val="20"/>
        <w:lang w:eastAsia="ar-SA"/>
      </w:rPr>
    </w:pPr>
    <w:r>
      <w:rPr>
        <w:rFonts w:ascii="Cambria" w:eastAsia="Times New Roman" w:hAnsi="Cambria" w:cs="Calibri"/>
        <w:b/>
        <w:sz w:val="20"/>
        <w:szCs w:val="20"/>
        <w:lang w:eastAsia="ar-SA"/>
      </w:rPr>
      <w:t xml:space="preserve">Nr sprawy KP-272-PNU-52/2024 </w:t>
    </w:r>
  </w:p>
  <w:p w:rsidR="00E17B9C" w:rsidRDefault="001502FE">
    <w:pPr>
      <w:pStyle w:val="Nagwek"/>
      <w:rPr>
        <w:rFonts w:ascii="Cambria" w:hAnsi="Cambria"/>
        <w:color w:val="FF0000"/>
      </w:rPr>
    </w:pPr>
    <w:r>
      <w:rPr>
        <w:rFonts w:ascii="Cambria" w:hAnsi="Cambria"/>
        <w:color w:val="FF0000"/>
      </w:rPr>
      <w:t xml:space="preserve">Składany przez Wykonawcę wraz z ofertą.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9C"/>
    <w:rsid w:val="001502FE"/>
    <w:rsid w:val="006B2ED2"/>
    <w:rsid w:val="00E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B4510"/>
  <w15:docId w15:val="{E704DB85-946F-4F54-9A12-CF82752B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4383"/>
  </w:style>
  <w:style w:type="character" w:customStyle="1" w:styleId="StopkaZnak">
    <w:name w:val="Stopka Znak"/>
    <w:basedOn w:val="Domylnaczcionkaakapitu"/>
    <w:link w:val="Stopka"/>
    <w:uiPriority w:val="99"/>
    <w:qFormat/>
    <w:rsid w:val="00C64383"/>
  </w:style>
  <w:style w:type="character" w:customStyle="1" w:styleId="AkapitzlistZnak">
    <w:name w:val="Akapit z listą Znak"/>
    <w:link w:val="Akapitzlist"/>
    <w:uiPriority w:val="34"/>
    <w:qFormat/>
    <w:rsid w:val="004E66FB"/>
    <w:rPr>
      <w:rFonts w:ascii="Calibri" w:eastAsia="Calibri" w:hAnsi="Calibri" w:cs="Times New Roman"/>
      <w:lang w:val="x-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C6438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6438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E66F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Szewczak</dc:creator>
  <dc:description/>
  <cp:lastModifiedBy>Nina Szewczak</cp:lastModifiedBy>
  <cp:revision>8</cp:revision>
  <dcterms:created xsi:type="dcterms:W3CDTF">2024-08-05T05:22:00Z</dcterms:created>
  <dcterms:modified xsi:type="dcterms:W3CDTF">2024-09-06T11:02:00Z</dcterms:modified>
  <dc:language>en-GB</dc:language>
</cp:coreProperties>
</file>