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>
        <w:rPr>
          <w:rFonts w:ascii="Cambria" w:hAnsi="Cambria"/>
          <w:sz w:val="22"/>
          <w:szCs w:val="22"/>
        </w:rPr>
        <w:t>0</w:t>
      </w:r>
      <w:r w:rsidR="003A68D1">
        <w:rPr>
          <w:rFonts w:ascii="Cambria" w:hAnsi="Cambria"/>
          <w:sz w:val="22"/>
          <w:szCs w:val="22"/>
        </w:rPr>
        <w:t>7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A151BF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[……], data [[…….], strona [[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</w:p>
          <w:p w:rsidR="00A151BF" w:rsidRPr="00A151BF" w:rsidRDefault="00A151BF" w:rsidP="00A151BF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51BF">
              <w:rPr>
                <w:rFonts w:ascii="Cambria" w:hAnsi="Cambria"/>
                <w:b/>
                <w:sz w:val="16"/>
                <w:szCs w:val="16"/>
              </w:rPr>
              <w:t>LAMPY OPERACYJNE I ZABIEGOWE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</w:p>
          <w:p w:rsidR="005D597E" w:rsidRPr="005D597E" w:rsidRDefault="005D597E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D597E">
              <w:rPr>
                <w:rFonts w:ascii="Cambria" w:hAnsi="Cambria"/>
                <w:b/>
                <w:sz w:val="16"/>
                <w:szCs w:val="16"/>
              </w:rPr>
              <w:t>LAMPY OPERACYJNE</w:t>
            </w:r>
            <w:r w:rsidR="00A151BF">
              <w:rPr>
                <w:rFonts w:ascii="Cambria" w:hAnsi="Cambria"/>
                <w:b/>
                <w:sz w:val="16"/>
                <w:szCs w:val="16"/>
              </w:rPr>
              <w:t xml:space="preserve"> I ZABIEGOWE</w:t>
            </w:r>
            <w:bookmarkStart w:id="0" w:name="_GoBack"/>
            <w:bookmarkEnd w:id="0"/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>Operacyjnego Województwa Małopolskiego na lata 2014-2020 (RPO WM) do Działania 12.1 Infrastruktura ochrony zdrowia, Poddziałania 12.1.3 Infrastruktura ochrony zdrowia o znaczeniu subregionalnym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3A6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A68D1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wymaganego(-ych)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), w szczególno-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6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78" w:rsidRDefault="00A151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400.3pt;margin-top:-20.35pt;width:134.65pt;height:43.8pt;z-index:251660288;visibility:visible">
          <v:imagedata r:id="rId1" o:title=""/>
          <w10:wrap type="square"/>
        </v:shape>
      </w:pict>
    </w:r>
    <w:r>
      <w:rPr>
        <w:noProof/>
      </w:rPr>
      <w:pict>
        <v:shape id="Obraz 8" o:spid="_x0000_s2050" type="#_x0000_t75" style="position:absolute;margin-left:150.55pt;margin-top:-30.85pt;width:207pt;height:66.6pt;z-index:251659264;visibility:visible">
          <v:imagedata r:id="rId2" o:title=""/>
          <w10:wrap type="square"/>
        </v:shape>
      </w:pict>
    </w:r>
    <w:r>
      <w:rPr>
        <w:noProof/>
      </w:rPr>
      <w:pict>
        <v:shape id="Obraz 5" o:spid="_x0000_s2049" type="#_x0000_t75" style="position:absolute;margin-left:-3.95pt;margin-top:-20.35pt;width:98.15pt;height:51pt;z-index:251658240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373CFC"/>
    <w:rsid w:val="003A68D1"/>
    <w:rsid w:val="00480AD0"/>
    <w:rsid w:val="004C7F78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5D597E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151BF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33A70"/>
    <w:rsid w:val="00B511FC"/>
    <w:rsid w:val="00B777B8"/>
    <w:rsid w:val="00B8353B"/>
    <w:rsid w:val="00BA30C3"/>
    <w:rsid w:val="00BA788D"/>
    <w:rsid w:val="00BB2105"/>
    <w:rsid w:val="00BD74E0"/>
    <w:rsid w:val="00C17B91"/>
    <w:rsid w:val="00C24499"/>
    <w:rsid w:val="00C30209"/>
    <w:rsid w:val="00C63ED1"/>
    <w:rsid w:val="00CC6912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5D726F7-3A7B-4F47-B8EF-ADEFE25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6568</Words>
  <Characters>39413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6</cp:revision>
  <cp:lastPrinted>2016-09-07T12:03:00Z</cp:lastPrinted>
  <dcterms:created xsi:type="dcterms:W3CDTF">2019-02-08T09:50:00Z</dcterms:created>
  <dcterms:modified xsi:type="dcterms:W3CDTF">2019-02-08T12:26:00Z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