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1B85" w14:textId="3A09EC8E" w:rsidR="00500BF1" w:rsidRPr="005D3810" w:rsidRDefault="00500BF1" w:rsidP="00500BF1">
      <w:pPr>
        <w:jc w:val="right"/>
        <w:rPr>
          <w:b/>
          <w:bCs/>
        </w:rPr>
      </w:pPr>
      <w:r w:rsidRPr="005D3810">
        <w:rPr>
          <w:b/>
          <w:bCs/>
        </w:rPr>
        <w:t xml:space="preserve">Załącznik nr </w:t>
      </w:r>
      <w:r w:rsidR="005D3810">
        <w:rPr>
          <w:b/>
          <w:bCs/>
        </w:rPr>
        <w:t>2</w:t>
      </w:r>
      <w:r w:rsidRPr="005D3810">
        <w:rPr>
          <w:b/>
          <w:bCs/>
        </w:rPr>
        <w:t xml:space="preserve"> do SWZ </w:t>
      </w:r>
      <w:r w:rsidR="005D3810">
        <w:rPr>
          <w:b/>
          <w:bCs/>
        </w:rPr>
        <w:br/>
      </w:r>
      <w:r w:rsidRPr="005D3810">
        <w:rPr>
          <w:b/>
          <w:bCs/>
        </w:rPr>
        <w:t>PO.271.92.2023</w:t>
      </w:r>
    </w:p>
    <w:p w14:paraId="3DDB2979" w14:textId="371ED86E" w:rsidR="00500BF1" w:rsidRPr="005D3810" w:rsidRDefault="00500BF1" w:rsidP="00500BF1">
      <w:pPr>
        <w:jc w:val="center"/>
        <w:rPr>
          <w:b/>
          <w:bCs/>
        </w:rPr>
      </w:pPr>
      <w:r w:rsidRPr="005D3810">
        <w:rPr>
          <w:b/>
          <w:bCs/>
        </w:rPr>
        <w:t>Opis Przedmiotu Zamówienia</w:t>
      </w:r>
    </w:p>
    <w:p w14:paraId="63486C09" w14:textId="50EFDE1F" w:rsidR="00500BF1" w:rsidRPr="00500BF1" w:rsidRDefault="00500BF1" w:rsidP="00500BF1">
      <w:r>
        <w:t xml:space="preserve">Usługa </w:t>
      </w:r>
      <w:r w:rsidR="000F781E">
        <w:t>s</w:t>
      </w:r>
      <w:r>
        <w:t>erwis</w:t>
      </w:r>
      <w:r w:rsidR="000F781E">
        <w:t>owa</w:t>
      </w:r>
      <w:r>
        <w:t xml:space="preserve"> wymian</w:t>
      </w:r>
      <w:r w:rsidR="000F781E">
        <w:t>y</w:t>
      </w:r>
      <w:r>
        <w:t xml:space="preserve"> kolumny jonowej do mikroskopu FIB/SEM Helios 450HP firmy FEI Company.</w:t>
      </w:r>
    </w:p>
    <w:p w14:paraId="6C6572ED" w14:textId="77777777" w:rsidR="00500BF1" w:rsidRPr="00500BF1" w:rsidRDefault="00500BF1" w:rsidP="00500BF1">
      <w:pPr>
        <w:rPr>
          <w:szCs w:val="20"/>
        </w:rPr>
      </w:pPr>
      <w:r w:rsidRPr="00500BF1">
        <w:rPr>
          <w:szCs w:val="20"/>
        </w:rPr>
        <w:t>Minimalne wymagania w trakcie serwisu i wymiany kolumny:</w:t>
      </w:r>
    </w:p>
    <w:p w14:paraId="5DBA8C95" w14:textId="79CA4269" w:rsidR="000F781E" w:rsidRDefault="000F781E" w:rsidP="000F781E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Wykonawca w ramach przedmiotu zamówienia wykona usługę serwisową polegająca na wymianie kolumny jonowej mikroskopu </w:t>
      </w:r>
      <w:r w:rsidRPr="000F781E">
        <w:rPr>
          <w:sz w:val="20"/>
          <w:szCs w:val="20"/>
        </w:rPr>
        <w:t>FIB/SEM Helios 450HP firmy FEI Company</w:t>
      </w:r>
      <w:r>
        <w:rPr>
          <w:sz w:val="20"/>
          <w:szCs w:val="20"/>
        </w:rPr>
        <w:t xml:space="preserve">. </w:t>
      </w:r>
    </w:p>
    <w:p w14:paraId="0AF6F040" w14:textId="334A8984" w:rsidR="00500BF1" w:rsidRDefault="000F781E" w:rsidP="00500BF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 ramach usług</w:t>
      </w:r>
      <w:r w:rsidR="0026345B">
        <w:rPr>
          <w:sz w:val="20"/>
          <w:szCs w:val="20"/>
        </w:rPr>
        <w:t>i Wykonawca</w:t>
      </w:r>
      <w:r>
        <w:rPr>
          <w:sz w:val="20"/>
          <w:szCs w:val="20"/>
        </w:rPr>
        <w:t xml:space="preserve"> dostarczy f</w:t>
      </w:r>
      <w:r w:rsidR="00500BF1" w:rsidRPr="00500BF1">
        <w:rPr>
          <w:sz w:val="20"/>
          <w:szCs w:val="20"/>
        </w:rPr>
        <w:t>abrycznie now</w:t>
      </w:r>
      <w:r>
        <w:rPr>
          <w:sz w:val="20"/>
          <w:szCs w:val="20"/>
        </w:rPr>
        <w:t>ą</w:t>
      </w:r>
      <w:r w:rsidR="00500BF1" w:rsidRPr="00500BF1">
        <w:rPr>
          <w:sz w:val="20"/>
          <w:szCs w:val="20"/>
        </w:rPr>
        <w:t xml:space="preserve"> kolumn</w:t>
      </w:r>
      <w:r>
        <w:rPr>
          <w:sz w:val="20"/>
          <w:szCs w:val="20"/>
        </w:rPr>
        <w:t>ę</w:t>
      </w:r>
      <w:r w:rsidR="00E35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jonową zgodnie z poniższą specyfikacją.  </w:t>
      </w:r>
    </w:p>
    <w:p w14:paraId="3EE1354E" w14:textId="0E8AB670" w:rsidR="000F781E" w:rsidRDefault="000F781E" w:rsidP="00500BF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Specyfikacja kolumny jonowej: </w:t>
      </w:r>
    </w:p>
    <w:p w14:paraId="7243E9BE" w14:textId="45DA2C91" w:rsidR="000F781E" w:rsidRPr="00500BF1" w:rsidRDefault="0026345B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0F781E" w:rsidRPr="00500BF1">
        <w:rPr>
          <w:sz w:val="20"/>
          <w:szCs w:val="20"/>
        </w:rPr>
        <w:t>olumn</w:t>
      </w:r>
      <w:r w:rsidR="000F781E">
        <w:rPr>
          <w:sz w:val="20"/>
          <w:szCs w:val="20"/>
        </w:rPr>
        <w:t>a</w:t>
      </w:r>
      <w:r w:rsidR="000F781E" w:rsidRPr="00500BF1">
        <w:rPr>
          <w:sz w:val="20"/>
          <w:szCs w:val="20"/>
        </w:rPr>
        <w:t xml:space="preserve"> z ciekłokrystalicznym (LMIS) źródłem galu</w:t>
      </w:r>
      <w:r w:rsidR="000F781E">
        <w:rPr>
          <w:sz w:val="20"/>
          <w:szCs w:val="20"/>
        </w:rPr>
        <w:t>.</w:t>
      </w:r>
    </w:p>
    <w:p w14:paraId="3E6B8E5B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Nowe źródło galu z czasem życia minimum 1200 godzin oraz nowe elektrody (</w:t>
      </w:r>
      <w:proofErr w:type="spellStart"/>
      <w:r w:rsidRPr="00500BF1">
        <w:rPr>
          <w:sz w:val="20"/>
          <w:szCs w:val="20"/>
        </w:rPr>
        <w:t>supresor</w:t>
      </w:r>
      <w:proofErr w:type="spellEnd"/>
      <w:r w:rsidRPr="00500BF1">
        <w:rPr>
          <w:sz w:val="20"/>
          <w:szCs w:val="20"/>
        </w:rPr>
        <w:t xml:space="preserve"> i ekstraktor)</w:t>
      </w:r>
    </w:p>
    <w:p w14:paraId="3F41215C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Kolumna pompowana dwiema pompami jonowymi. Dostawa musi obejmować jedną nową pompę, druga pompa z aktualnego systemu pompowego mikroskopu.</w:t>
      </w:r>
    </w:p>
    <w:p w14:paraId="40A99A44" w14:textId="2F17B029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 xml:space="preserve">Pełna kompatybilność elektroniczna, sprzętowa i programowa kolumny z mikroskopem Helios 450HP zainstalowanym w </w:t>
      </w:r>
      <w:r>
        <w:rPr>
          <w:sz w:val="20"/>
          <w:szCs w:val="20"/>
        </w:rPr>
        <w:t xml:space="preserve"> Sieci Badawczej Łukasiewicz - PORT</w:t>
      </w:r>
    </w:p>
    <w:p w14:paraId="4590065C" w14:textId="3ACDEAD7" w:rsidR="00500BF1" w:rsidRPr="005D3810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Obsługa kolumny, tj. włączanie, wyłączanie, kontrola emisji, skanowanie, wybór parametr</w:t>
      </w:r>
      <w:r>
        <w:rPr>
          <w:sz w:val="20"/>
          <w:szCs w:val="20"/>
        </w:rPr>
        <w:t>ó</w:t>
      </w:r>
      <w:r w:rsidRPr="00500BF1">
        <w:rPr>
          <w:sz w:val="20"/>
          <w:szCs w:val="20"/>
        </w:rPr>
        <w:t>w wiązki (napięcie, prąd) i ogniskowanie poprzez oprogramowanie mikroskopu Helios 450 HP</w:t>
      </w:r>
      <w:r w:rsidR="000F781E">
        <w:rPr>
          <w:sz w:val="20"/>
          <w:szCs w:val="20"/>
        </w:rPr>
        <w:t xml:space="preserve"> stanowiącego wyposażenie laboratorium Sieci Badawczej Łukasiewicz </w:t>
      </w:r>
      <w:r w:rsidR="0026345B">
        <w:rPr>
          <w:sz w:val="20"/>
          <w:szCs w:val="20"/>
        </w:rPr>
        <w:t>–</w:t>
      </w:r>
      <w:r w:rsidR="000F781E">
        <w:rPr>
          <w:sz w:val="20"/>
          <w:szCs w:val="20"/>
        </w:rPr>
        <w:t xml:space="preserve"> PORT</w:t>
      </w:r>
      <w:r w:rsidR="0026345B">
        <w:rPr>
          <w:sz w:val="20"/>
          <w:szCs w:val="20"/>
        </w:rPr>
        <w:t>.</w:t>
      </w:r>
    </w:p>
    <w:p w14:paraId="4150C13A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Geometria 52</w:t>
      </w:r>
      <w:r w:rsidRPr="00500BF1">
        <w:rPr>
          <w:rFonts w:cstheme="minorHAnsi"/>
          <w:sz w:val="20"/>
          <w:szCs w:val="20"/>
        </w:rPr>
        <w:t>°</w:t>
      </w:r>
      <w:r w:rsidRPr="00500BF1">
        <w:rPr>
          <w:sz w:val="20"/>
          <w:szCs w:val="20"/>
        </w:rPr>
        <w:t xml:space="preserve"> względem kolumny elektronowej</w:t>
      </w:r>
    </w:p>
    <w:p w14:paraId="5211A4B0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Punkt koincydencji z kolumną jonową przy odległości roboczej dokładnie 4 mm</w:t>
      </w:r>
    </w:p>
    <w:p w14:paraId="09E7CCE2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 xml:space="preserve">Zakres napięć przyspieszających minimum od 0,5 </w:t>
      </w:r>
      <w:proofErr w:type="spellStart"/>
      <w:r w:rsidRPr="00500BF1">
        <w:rPr>
          <w:sz w:val="20"/>
          <w:szCs w:val="20"/>
        </w:rPr>
        <w:t>kV</w:t>
      </w:r>
      <w:proofErr w:type="spellEnd"/>
      <w:r w:rsidRPr="00500BF1">
        <w:rPr>
          <w:sz w:val="20"/>
          <w:szCs w:val="20"/>
        </w:rPr>
        <w:t xml:space="preserve"> do 30 </w:t>
      </w:r>
      <w:proofErr w:type="spellStart"/>
      <w:r w:rsidRPr="00500BF1">
        <w:rPr>
          <w:sz w:val="20"/>
          <w:szCs w:val="20"/>
        </w:rPr>
        <w:t>kV</w:t>
      </w:r>
      <w:proofErr w:type="spellEnd"/>
    </w:p>
    <w:p w14:paraId="1CAB9E85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 xml:space="preserve">Zakres prądów jonowych minimum od 2 </w:t>
      </w:r>
      <w:proofErr w:type="spellStart"/>
      <w:r w:rsidRPr="00500BF1">
        <w:rPr>
          <w:sz w:val="20"/>
          <w:szCs w:val="20"/>
        </w:rPr>
        <w:t>pA</w:t>
      </w:r>
      <w:proofErr w:type="spellEnd"/>
      <w:r w:rsidRPr="00500BF1">
        <w:rPr>
          <w:sz w:val="20"/>
          <w:szCs w:val="20"/>
        </w:rPr>
        <w:t xml:space="preserve"> do 60 </w:t>
      </w:r>
      <w:proofErr w:type="spellStart"/>
      <w:r w:rsidRPr="00500BF1">
        <w:rPr>
          <w:sz w:val="20"/>
          <w:szCs w:val="20"/>
        </w:rPr>
        <w:t>nA</w:t>
      </w:r>
      <w:proofErr w:type="spellEnd"/>
    </w:p>
    <w:p w14:paraId="7EED126E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Minimalne powiększenie obrazów generowanych wiązką jonową (na polaroidzie 5”): 50x</w:t>
      </w:r>
    </w:p>
    <w:p w14:paraId="67E8F60D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 xml:space="preserve">Rozdzielczość kolumny jonowej rozumiana jako rozdzielczość obrazów SE nie gorsza niż 3 </w:t>
      </w:r>
      <w:proofErr w:type="spellStart"/>
      <w:r w:rsidRPr="00500BF1">
        <w:rPr>
          <w:sz w:val="20"/>
          <w:szCs w:val="20"/>
        </w:rPr>
        <w:t>nm</w:t>
      </w:r>
      <w:proofErr w:type="spellEnd"/>
    </w:p>
    <w:p w14:paraId="6F3446BB" w14:textId="77777777" w:rsidR="00500BF1" w:rsidRPr="00500BF1" w:rsidRDefault="00500BF1" w:rsidP="00731B44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 xml:space="preserve">Rozmiar plamki przy prądzie bliskim 10 </w:t>
      </w:r>
      <w:proofErr w:type="spellStart"/>
      <w:r w:rsidRPr="00500BF1">
        <w:rPr>
          <w:sz w:val="20"/>
          <w:szCs w:val="20"/>
        </w:rPr>
        <w:t>nA</w:t>
      </w:r>
      <w:proofErr w:type="spellEnd"/>
      <w:r w:rsidRPr="00500BF1">
        <w:rPr>
          <w:sz w:val="20"/>
          <w:szCs w:val="20"/>
        </w:rPr>
        <w:t xml:space="preserve"> </w:t>
      </w:r>
      <w:r w:rsidRPr="00500BF1">
        <w:rPr>
          <w:rFonts w:cstheme="minorHAnsi"/>
          <w:sz w:val="20"/>
          <w:szCs w:val="20"/>
        </w:rPr>
        <w:t>±</w:t>
      </w:r>
      <w:r w:rsidRPr="00500BF1">
        <w:rPr>
          <w:sz w:val="20"/>
          <w:szCs w:val="20"/>
        </w:rPr>
        <w:t xml:space="preserve"> 0,7 </w:t>
      </w:r>
      <w:proofErr w:type="spellStart"/>
      <w:r w:rsidRPr="00500BF1">
        <w:rPr>
          <w:sz w:val="20"/>
          <w:szCs w:val="20"/>
        </w:rPr>
        <w:t>nA</w:t>
      </w:r>
      <w:proofErr w:type="spellEnd"/>
      <w:r w:rsidRPr="00500BF1">
        <w:rPr>
          <w:sz w:val="20"/>
          <w:szCs w:val="20"/>
        </w:rPr>
        <w:t xml:space="preserve"> nie większy niż 300 </w:t>
      </w:r>
      <w:proofErr w:type="spellStart"/>
      <w:r w:rsidRPr="00500BF1">
        <w:rPr>
          <w:sz w:val="20"/>
          <w:szCs w:val="20"/>
        </w:rPr>
        <w:t>nm</w:t>
      </w:r>
      <w:proofErr w:type="spellEnd"/>
    </w:p>
    <w:p w14:paraId="7A1C4219" w14:textId="77777777" w:rsidR="000F781E" w:rsidRDefault="000F781E" w:rsidP="00731B44">
      <w:pPr>
        <w:pStyle w:val="Akapitzlist"/>
        <w:jc w:val="both"/>
        <w:rPr>
          <w:sz w:val="20"/>
          <w:szCs w:val="20"/>
        </w:rPr>
      </w:pPr>
    </w:p>
    <w:p w14:paraId="6C8EE869" w14:textId="14123557" w:rsidR="003A7C33" w:rsidRDefault="000F781E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Usługa musi obejmować: instalację</w:t>
      </w:r>
      <w:r w:rsidR="0026345B">
        <w:rPr>
          <w:sz w:val="20"/>
          <w:szCs w:val="20"/>
        </w:rPr>
        <w:t xml:space="preserve"> kolumny, a następnie jej konfiguracje</w:t>
      </w:r>
      <w:r w:rsidR="003A7C33">
        <w:rPr>
          <w:sz w:val="20"/>
          <w:szCs w:val="20"/>
        </w:rPr>
        <w:t xml:space="preserve"> oraz kalibrację </w:t>
      </w:r>
      <w:r w:rsidR="003A7C33" w:rsidRPr="00500BF1">
        <w:rPr>
          <w:sz w:val="20"/>
          <w:szCs w:val="20"/>
        </w:rPr>
        <w:t xml:space="preserve">dla napięć 30 </w:t>
      </w:r>
      <w:proofErr w:type="spellStart"/>
      <w:r w:rsidR="003A7C33" w:rsidRPr="00500BF1">
        <w:rPr>
          <w:sz w:val="20"/>
          <w:szCs w:val="20"/>
        </w:rPr>
        <w:t>kV</w:t>
      </w:r>
      <w:proofErr w:type="spellEnd"/>
      <w:r w:rsidR="003A7C33" w:rsidRPr="00500BF1">
        <w:rPr>
          <w:sz w:val="20"/>
          <w:szCs w:val="20"/>
        </w:rPr>
        <w:t xml:space="preserve">, 5 </w:t>
      </w:r>
      <w:proofErr w:type="spellStart"/>
      <w:r w:rsidR="003A7C33" w:rsidRPr="00500BF1">
        <w:rPr>
          <w:sz w:val="20"/>
          <w:szCs w:val="20"/>
        </w:rPr>
        <w:t>kV</w:t>
      </w:r>
      <w:proofErr w:type="spellEnd"/>
      <w:r w:rsidR="003A7C33" w:rsidRPr="00500BF1">
        <w:rPr>
          <w:sz w:val="20"/>
          <w:szCs w:val="20"/>
        </w:rPr>
        <w:t xml:space="preserve">, 2 </w:t>
      </w:r>
      <w:proofErr w:type="spellStart"/>
      <w:r w:rsidR="003A7C33" w:rsidRPr="00500BF1">
        <w:rPr>
          <w:sz w:val="20"/>
          <w:szCs w:val="20"/>
        </w:rPr>
        <w:t>kV</w:t>
      </w:r>
      <w:proofErr w:type="spellEnd"/>
      <w:r w:rsidR="003A7C33" w:rsidRPr="00500BF1">
        <w:rPr>
          <w:sz w:val="20"/>
          <w:szCs w:val="20"/>
        </w:rPr>
        <w:t xml:space="preserve"> i 1 </w:t>
      </w:r>
      <w:proofErr w:type="spellStart"/>
      <w:r w:rsidR="003A7C33" w:rsidRPr="00500BF1">
        <w:rPr>
          <w:sz w:val="20"/>
          <w:szCs w:val="20"/>
        </w:rPr>
        <w:t>kV</w:t>
      </w:r>
      <w:proofErr w:type="spellEnd"/>
      <w:r w:rsidR="003A7C33">
        <w:rPr>
          <w:sz w:val="20"/>
          <w:szCs w:val="20"/>
        </w:rPr>
        <w:t xml:space="preserve">. </w:t>
      </w:r>
    </w:p>
    <w:p w14:paraId="380D1102" w14:textId="6617E29C" w:rsidR="0026345B" w:rsidRDefault="0026345B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instalacji kolumny Wykonawca dokona weryfikacji poprawności przeprowadzonych czynności oraz działania mikroskopu. </w:t>
      </w:r>
    </w:p>
    <w:p w14:paraId="5E5129A9" w14:textId="713A443A" w:rsidR="00731B44" w:rsidRDefault="000F781E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dostarczy wszelkie niezbędne</w:t>
      </w:r>
      <w:r w:rsidR="003A7C33">
        <w:rPr>
          <w:sz w:val="20"/>
          <w:szCs w:val="20"/>
        </w:rPr>
        <w:t xml:space="preserve"> do instalacji materiały i części, w tym przewody, złączki itp. </w:t>
      </w:r>
    </w:p>
    <w:p w14:paraId="7A94019E" w14:textId="779305C4" w:rsidR="00500BF1" w:rsidRDefault="00500BF1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500BF1">
        <w:rPr>
          <w:sz w:val="20"/>
          <w:szCs w:val="20"/>
        </w:rPr>
        <w:t>Gwarancja</w:t>
      </w:r>
      <w:r w:rsidR="0026345B">
        <w:rPr>
          <w:sz w:val="20"/>
          <w:szCs w:val="20"/>
        </w:rPr>
        <w:t xml:space="preserve">: </w:t>
      </w:r>
      <w:r w:rsidRPr="00500BF1">
        <w:rPr>
          <w:sz w:val="20"/>
          <w:szCs w:val="20"/>
        </w:rPr>
        <w:t xml:space="preserve"> minimum </w:t>
      </w:r>
      <w:r w:rsidR="0026345B">
        <w:rPr>
          <w:sz w:val="20"/>
          <w:szCs w:val="20"/>
        </w:rPr>
        <w:t xml:space="preserve">12 miesięcy obejmująca usługę oraz części. </w:t>
      </w:r>
    </w:p>
    <w:p w14:paraId="1CD5B54A" w14:textId="30105423" w:rsidR="000F781E" w:rsidRDefault="000F781E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Usługa serwisowa </w:t>
      </w:r>
      <w:r w:rsidR="0026345B">
        <w:rPr>
          <w:sz w:val="20"/>
          <w:szCs w:val="20"/>
        </w:rPr>
        <w:t xml:space="preserve">zostanie przeprowadzona w miejscu instalacji mikroskopu </w:t>
      </w:r>
      <w:proofErr w:type="spellStart"/>
      <w:r w:rsidR="0026345B">
        <w:rPr>
          <w:sz w:val="20"/>
          <w:szCs w:val="20"/>
        </w:rPr>
        <w:t>tj</w:t>
      </w:r>
      <w:proofErr w:type="spellEnd"/>
      <w:r w:rsidR="0026345B">
        <w:rPr>
          <w:sz w:val="20"/>
          <w:szCs w:val="20"/>
        </w:rPr>
        <w:t xml:space="preserve">: </w:t>
      </w:r>
      <w:r>
        <w:rPr>
          <w:sz w:val="20"/>
          <w:szCs w:val="20"/>
        </w:rPr>
        <w:t>Sie</w:t>
      </w:r>
      <w:r w:rsidR="0026345B">
        <w:rPr>
          <w:sz w:val="20"/>
          <w:szCs w:val="20"/>
        </w:rPr>
        <w:t xml:space="preserve">ć </w:t>
      </w:r>
      <w:r>
        <w:rPr>
          <w:sz w:val="20"/>
          <w:szCs w:val="20"/>
        </w:rPr>
        <w:t>Badawcz</w:t>
      </w:r>
      <w:r w:rsidR="0026345B">
        <w:rPr>
          <w:sz w:val="20"/>
          <w:szCs w:val="20"/>
        </w:rPr>
        <w:t xml:space="preserve">a </w:t>
      </w:r>
      <w:r>
        <w:rPr>
          <w:sz w:val="20"/>
          <w:szCs w:val="20"/>
        </w:rPr>
        <w:t>Łukasiewicz – PORT</w:t>
      </w:r>
      <w:r w:rsidR="0026345B">
        <w:rPr>
          <w:sz w:val="20"/>
          <w:szCs w:val="20"/>
        </w:rPr>
        <w:t xml:space="preserve">, ul. Stabłowicka 147, </w:t>
      </w:r>
      <w:r>
        <w:rPr>
          <w:sz w:val="20"/>
          <w:szCs w:val="20"/>
        </w:rPr>
        <w:t xml:space="preserve">budynku </w:t>
      </w:r>
      <w:r w:rsidR="0026345B">
        <w:rPr>
          <w:sz w:val="20"/>
          <w:szCs w:val="20"/>
        </w:rPr>
        <w:t xml:space="preserve">C, pomieszczenie </w:t>
      </w:r>
      <w:r w:rsidR="005D3810">
        <w:rPr>
          <w:sz w:val="20"/>
          <w:szCs w:val="20"/>
        </w:rPr>
        <w:t>-1.31</w:t>
      </w:r>
    </w:p>
    <w:p w14:paraId="2F431E9B" w14:textId="769AC241" w:rsidR="0026345B" w:rsidRPr="00A94F0D" w:rsidRDefault="00FA359C" w:rsidP="00731B44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w jakim okaże się to konieczne, Wykonawca zapewni, </w:t>
      </w:r>
      <w:r w:rsidR="00903718">
        <w:rPr>
          <w:sz w:val="20"/>
          <w:szCs w:val="20"/>
        </w:rPr>
        <w:t xml:space="preserve">że </w:t>
      </w:r>
      <w:r>
        <w:rPr>
          <w:sz w:val="20"/>
          <w:szCs w:val="20"/>
        </w:rPr>
        <w:t>u</w:t>
      </w:r>
      <w:r w:rsidRPr="00C9265E">
        <w:rPr>
          <w:sz w:val="20"/>
          <w:szCs w:val="20"/>
        </w:rPr>
        <w:t xml:space="preserve">sługa </w:t>
      </w:r>
      <w:r w:rsidR="0026345B" w:rsidRPr="00C9265E">
        <w:rPr>
          <w:sz w:val="20"/>
          <w:szCs w:val="20"/>
        </w:rPr>
        <w:t>zosta</w:t>
      </w:r>
      <w:r>
        <w:rPr>
          <w:sz w:val="20"/>
          <w:szCs w:val="20"/>
        </w:rPr>
        <w:t>nie</w:t>
      </w:r>
      <w:r w:rsidR="0026345B" w:rsidRPr="00C9265E">
        <w:rPr>
          <w:sz w:val="20"/>
          <w:szCs w:val="20"/>
        </w:rPr>
        <w:t xml:space="preserve"> przeprowadzona </w:t>
      </w:r>
      <w:r w:rsidR="0026345B">
        <w:rPr>
          <w:sz w:val="20"/>
          <w:szCs w:val="20"/>
        </w:rPr>
        <w:t xml:space="preserve">przy </w:t>
      </w:r>
      <w:r>
        <w:rPr>
          <w:sz w:val="20"/>
          <w:szCs w:val="20"/>
        </w:rPr>
        <w:t xml:space="preserve">niezbędnym wsparciu </w:t>
      </w:r>
      <w:r w:rsidR="0026345B" w:rsidRPr="00500BF1">
        <w:rPr>
          <w:sz w:val="20"/>
          <w:szCs w:val="20"/>
        </w:rPr>
        <w:t xml:space="preserve">autoryzowanego serwisu </w:t>
      </w:r>
      <w:r w:rsidR="0026345B">
        <w:rPr>
          <w:sz w:val="20"/>
          <w:szCs w:val="20"/>
        </w:rPr>
        <w:t xml:space="preserve">producenta </w:t>
      </w:r>
      <w:r w:rsidR="0026345B" w:rsidRPr="00500BF1">
        <w:rPr>
          <w:sz w:val="20"/>
          <w:szCs w:val="20"/>
        </w:rPr>
        <w:t>mikroskopu</w:t>
      </w:r>
      <w:r w:rsidR="0026345B">
        <w:rPr>
          <w:sz w:val="20"/>
          <w:szCs w:val="20"/>
        </w:rPr>
        <w:t xml:space="preserve">. Wykonawca składając ofertę jednocześnie oświadcza, że posiada wiedzę, doświadczenie, dostęp do oryginalnych części oraz wsparcie techniczne Producenta mikroskopu. </w:t>
      </w:r>
    </w:p>
    <w:p w14:paraId="0E8395B3" w14:textId="115A7841" w:rsidR="00A357A3" w:rsidRPr="00500BF1" w:rsidRDefault="00A357A3" w:rsidP="00500BF1">
      <w:pPr>
        <w:rPr>
          <w:szCs w:val="20"/>
        </w:rPr>
      </w:pPr>
    </w:p>
    <w:sectPr w:rsidR="00A357A3" w:rsidRPr="00500BF1" w:rsidSect="0099379C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A01A" w14:textId="77777777" w:rsidR="00AA0BD9" w:rsidRDefault="00AA0BD9" w:rsidP="006747BD">
      <w:pPr>
        <w:spacing w:after="0" w:line="240" w:lineRule="auto"/>
      </w:pPr>
      <w:r>
        <w:separator/>
      </w:r>
    </w:p>
  </w:endnote>
  <w:endnote w:type="continuationSeparator" w:id="0">
    <w:p w14:paraId="521D6D06" w14:textId="77777777" w:rsidR="00AA0BD9" w:rsidRDefault="00AA0B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DFB6" w14:textId="77777777" w:rsidR="00AA0BD9" w:rsidRDefault="00AA0BD9" w:rsidP="006747BD">
      <w:pPr>
        <w:spacing w:after="0" w:line="240" w:lineRule="auto"/>
      </w:pPr>
      <w:r>
        <w:separator/>
      </w:r>
    </w:p>
  </w:footnote>
  <w:footnote w:type="continuationSeparator" w:id="0">
    <w:p w14:paraId="5C0102BF" w14:textId="77777777" w:rsidR="00AA0BD9" w:rsidRDefault="00AA0B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61C1D"/>
    <w:multiLevelType w:val="hybridMultilevel"/>
    <w:tmpl w:val="52A62924"/>
    <w:lvl w:ilvl="0" w:tplc="A256593A">
      <w:start w:val="1"/>
      <w:numFmt w:val="decimal"/>
      <w:lvlText w:val="%1."/>
      <w:lvlJc w:val="left"/>
      <w:pPr>
        <w:ind w:left="720" w:hanging="360"/>
      </w:pPr>
    </w:lvl>
    <w:lvl w:ilvl="1" w:tplc="5A6E88AC">
      <w:start w:val="1"/>
      <w:numFmt w:val="decimal"/>
      <w:lvlText w:val="%2."/>
      <w:lvlJc w:val="left"/>
      <w:pPr>
        <w:ind w:left="720" w:hanging="360"/>
      </w:pPr>
    </w:lvl>
    <w:lvl w:ilvl="2" w:tplc="A86E0C58">
      <w:start w:val="1"/>
      <w:numFmt w:val="decimal"/>
      <w:lvlText w:val="%3."/>
      <w:lvlJc w:val="left"/>
      <w:pPr>
        <w:ind w:left="720" w:hanging="360"/>
      </w:pPr>
    </w:lvl>
    <w:lvl w:ilvl="3" w:tplc="02C82056">
      <w:start w:val="1"/>
      <w:numFmt w:val="decimal"/>
      <w:lvlText w:val="%4."/>
      <w:lvlJc w:val="left"/>
      <w:pPr>
        <w:ind w:left="720" w:hanging="360"/>
      </w:pPr>
    </w:lvl>
    <w:lvl w:ilvl="4" w:tplc="D1C4C230">
      <w:start w:val="1"/>
      <w:numFmt w:val="decimal"/>
      <w:lvlText w:val="%5."/>
      <w:lvlJc w:val="left"/>
      <w:pPr>
        <w:ind w:left="720" w:hanging="360"/>
      </w:pPr>
    </w:lvl>
    <w:lvl w:ilvl="5" w:tplc="256264F0">
      <w:start w:val="1"/>
      <w:numFmt w:val="decimal"/>
      <w:lvlText w:val="%6."/>
      <w:lvlJc w:val="left"/>
      <w:pPr>
        <w:ind w:left="720" w:hanging="360"/>
      </w:pPr>
    </w:lvl>
    <w:lvl w:ilvl="6" w:tplc="D7881E9E">
      <w:start w:val="1"/>
      <w:numFmt w:val="decimal"/>
      <w:lvlText w:val="%7."/>
      <w:lvlJc w:val="left"/>
      <w:pPr>
        <w:ind w:left="720" w:hanging="360"/>
      </w:pPr>
    </w:lvl>
    <w:lvl w:ilvl="7" w:tplc="198ECB62">
      <w:start w:val="1"/>
      <w:numFmt w:val="decimal"/>
      <w:lvlText w:val="%8."/>
      <w:lvlJc w:val="left"/>
      <w:pPr>
        <w:ind w:left="720" w:hanging="360"/>
      </w:pPr>
    </w:lvl>
    <w:lvl w:ilvl="8" w:tplc="E31AE206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72381EF0"/>
    <w:multiLevelType w:val="hybridMultilevel"/>
    <w:tmpl w:val="F0F2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1916">
    <w:abstractNumId w:val="9"/>
  </w:num>
  <w:num w:numId="2" w16cid:durableId="1979216065">
    <w:abstractNumId w:val="8"/>
  </w:num>
  <w:num w:numId="3" w16cid:durableId="1904173842">
    <w:abstractNumId w:val="3"/>
  </w:num>
  <w:num w:numId="4" w16cid:durableId="531266566">
    <w:abstractNumId w:val="2"/>
  </w:num>
  <w:num w:numId="5" w16cid:durableId="1564175007">
    <w:abstractNumId w:val="1"/>
  </w:num>
  <w:num w:numId="6" w16cid:durableId="1293711021">
    <w:abstractNumId w:val="0"/>
  </w:num>
  <w:num w:numId="7" w16cid:durableId="1491408858">
    <w:abstractNumId w:val="7"/>
  </w:num>
  <w:num w:numId="8" w16cid:durableId="45373380">
    <w:abstractNumId w:val="6"/>
  </w:num>
  <w:num w:numId="9" w16cid:durableId="465902633">
    <w:abstractNumId w:val="5"/>
  </w:num>
  <w:num w:numId="10" w16cid:durableId="360588648">
    <w:abstractNumId w:val="4"/>
  </w:num>
  <w:num w:numId="11" w16cid:durableId="776827659">
    <w:abstractNumId w:val="11"/>
  </w:num>
  <w:num w:numId="12" w16cid:durableId="1613898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444F"/>
    <w:rsid w:val="00032A42"/>
    <w:rsid w:val="00070438"/>
    <w:rsid w:val="00077647"/>
    <w:rsid w:val="000B6C60"/>
    <w:rsid w:val="000D2F0F"/>
    <w:rsid w:val="000F781E"/>
    <w:rsid w:val="00132380"/>
    <w:rsid w:val="00134929"/>
    <w:rsid w:val="001A0BD2"/>
    <w:rsid w:val="00231524"/>
    <w:rsid w:val="002442AE"/>
    <w:rsid w:val="0026345B"/>
    <w:rsid w:val="002C5CFA"/>
    <w:rsid w:val="002D48BE"/>
    <w:rsid w:val="002F4540"/>
    <w:rsid w:val="00306580"/>
    <w:rsid w:val="003317CA"/>
    <w:rsid w:val="00335F9F"/>
    <w:rsid w:val="0034161E"/>
    <w:rsid w:val="00346C00"/>
    <w:rsid w:val="00354A18"/>
    <w:rsid w:val="003A7C33"/>
    <w:rsid w:val="003F4BA3"/>
    <w:rsid w:val="004527FA"/>
    <w:rsid w:val="004F5805"/>
    <w:rsid w:val="00500BF1"/>
    <w:rsid w:val="00526CDD"/>
    <w:rsid w:val="005470D9"/>
    <w:rsid w:val="005D102F"/>
    <w:rsid w:val="005D1495"/>
    <w:rsid w:val="005D3810"/>
    <w:rsid w:val="005E65BB"/>
    <w:rsid w:val="0063152F"/>
    <w:rsid w:val="006747BD"/>
    <w:rsid w:val="00690580"/>
    <w:rsid w:val="006919BD"/>
    <w:rsid w:val="006D6DE5"/>
    <w:rsid w:val="006E5990"/>
    <w:rsid w:val="006F645A"/>
    <w:rsid w:val="00731B44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3718"/>
    <w:rsid w:val="00963911"/>
    <w:rsid w:val="0099379C"/>
    <w:rsid w:val="009D4C4D"/>
    <w:rsid w:val="00A357A3"/>
    <w:rsid w:val="00A36F46"/>
    <w:rsid w:val="00A4666C"/>
    <w:rsid w:val="00A52C29"/>
    <w:rsid w:val="00A94F0D"/>
    <w:rsid w:val="00AA0BD9"/>
    <w:rsid w:val="00B61F8A"/>
    <w:rsid w:val="00B93569"/>
    <w:rsid w:val="00C137EA"/>
    <w:rsid w:val="00C459EF"/>
    <w:rsid w:val="00C736D5"/>
    <w:rsid w:val="00D005B3"/>
    <w:rsid w:val="00D06D36"/>
    <w:rsid w:val="00D40690"/>
    <w:rsid w:val="00DA52A1"/>
    <w:rsid w:val="00E35E85"/>
    <w:rsid w:val="00E86DDB"/>
    <w:rsid w:val="00ED7972"/>
    <w:rsid w:val="00EE493C"/>
    <w:rsid w:val="00EE56F9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BF1"/>
    <w:pPr>
      <w:spacing w:after="160" w:line="259" w:lineRule="auto"/>
      <w:ind w:left="720"/>
      <w:contextualSpacing/>
      <w:jc w:val="left"/>
    </w:pPr>
    <w:rPr>
      <w:color w:val="auto"/>
      <w:spacing w:val="0"/>
      <w:kern w:val="2"/>
      <w:sz w:val="22"/>
      <w14:ligatures w14:val="standardContextual"/>
    </w:rPr>
  </w:style>
  <w:style w:type="paragraph" w:styleId="Poprawka">
    <w:name w:val="Revision"/>
    <w:hidden/>
    <w:uiPriority w:val="99"/>
    <w:semiHidden/>
    <w:rsid w:val="00500BF1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B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BF1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BF1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86fbb-3efa-4790-ab4b-c8a78bce1f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35bfcdcf24d2421e8be57526b37c4861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98703697217ed7bb52bc782684995ba5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4C76F-385F-4D25-BF0B-2D75E5745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FE5E-29B6-42D7-AF44-3AD171BE8E1C}">
  <ds:schemaRefs>
    <ds:schemaRef ds:uri="http://schemas.microsoft.com/office/2006/metadata/properties"/>
    <ds:schemaRef ds:uri="http://schemas.microsoft.com/office/infopath/2007/PartnerControls"/>
    <ds:schemaRef ds:uri="fd186fbb-3efa-4790-ab4b-c8a78bce1f6b"/>
  </ds:schemaRefs>
</ds:datastoreItem>
</file>

<file path=customXml/itemProps3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8CD86-06B2-451F-B929-B203A4DC8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2023-10-12T06:59:00Z</dcterms:created>
  <dcterms:modified xsi:type="dcterms:W3CDTF">2023-10-12T06:59:00Z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