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657" w14:textId="77777777" w:rsidR="00465F49" w:rsidRPr="00F71BA6" w:rsidRDefault="00465F49" w:rsidP="00465F49">
      <w:pPr>
        <w:spacing w:line="360" w:lineRule="auto"/>
        <w:jc w:val="center"/>
        <w:rPr>
          <w:b/>
          <w:caps/>
          <w:sz w:val="28"/>
          <w:szCs w:val="28"/>
        </w:rPr>
      </w:pPr>
      <w:r w:rsidRPr="00F71BA6">
        <w:rPr>
          <w:b/>
          <w:caps/>
          <w:sz w:val="28"/>
          <w:szCs w:val="28"/>
        </w:rPr>
        <w:t>specyfikacja warunków zamówienia</w:t>
      </w:r>
    </w:p>
    <w:p w14:paraId="58D123AA" w14:textId="77777777" w:rsidR="00465F49" w:rsidRPr="00F71BA6" w:rsidRDefault="00465F49" w:rsidP="00465F49">
      <w:pPr>
        <w:spacing w:before="480" w:after="480" w:line="360" w:lineRule="auto"/>
        <w:jc w:val="center"/>
        <w:rPr>
          <w:b/>
          <w:caps/>
        </w:rPr>
      </w:pPr>
      <w:r w:rsidRPr="00F71BA6">
        <w:rPr>
          <w:b/>
          <w:caps/>
        </w:rPr>
        <w:t>zAMAWIAJĄCY:</w:t>
      </w:r>
    </w:p>
    <w:p w14:paraId="6A52031A" w14:textId="77777777" w:rsidR="00465F49" w:rsidRPr="00F71BA6" w:rsidRDefault="00F80EC7" w:rsidP="00465F49">
      <w:pPr>
        <w:spacing w:before="40" w:after="240" w:line="360" w:lineRule="auto"/>
        <w:jc w:val="center"/>
        <w:rPr>
          <w:b/>
          <w:caps/>
          <w:sz w:val="40"/>
        </w:rPr>
      </w:pPr>
      <w:r w:rsidRPr="00F71BA6">
        <w:rPr>
          <w:b/>
          <w:caps/>
          <w:sz w:val="40"/>
        </w:rPr>
        <w:t>Gmina Wiskitki</w:t>
      </w:r>
    </w:p>
    <w:p w14:paraId="674DEE2F" w14:textId="77777777" w:rsidR="00F80EC7" w:rsidRPr="00F71BA6" w:rsidRDefault="00FE3621" w:rsidP="00465F49">
      <w:pPr>
        <w:spacing w:before="40" w:after="240" w:line="360" w:lineRule="auto"/>
        <w:jc w:val="center"/>
        <w:rPr>
          <w:caps/>
          <w:sz w:val="20"/>
          <w:szCs w:val="20"/>
        </w:rPr>
      </w:pPr>
      <w:r w:rsidRPr="00F71BA6">
        <w:rPr>
          <w:noProof/>
        </w:rPr>
        <w:drawing>
          <wp:inline distT="0" distB="0" distL="0" distR="0" wp14:anchorId="5AAF5751" wp14:editId="13B5AA53">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3B776F0" w14:textId="56647480" w:rsidR="00465F49" w:rsidRPr="00F71BA6" w:rsidRDefault="00F80EC7" w:rsidP="00465F49">
      <w:pPr>
        <w:spacing w:before="480" w:line="360" w:lineRule="auto"/>
        <w:jc w:val="center"/>
        <w:rPr>
          <w:sz w:val="22"/>
          <w:szCs w:val="22"/>
        </w:rPr>
      </w:pPr>
      <w:r w:rsidRPr="00F71BA6">
        <w:rPr>
          <w:sz w:val="22"/>
          <w:szCs w:val="22"/>
        </w:rPr>
        <w:t>z</w:t>
      </w:r>
      <w:r w:rsidR="00465F49" w:rsidRPr="00F71BA6">
        <w:rPr>
          <w:sz w:val="22"/>
          <w:szCs w:val="22"/>
        </w:rPr>
        <w:t xml:space="preserve">aprasza do złożenia oferty w postępowaniu o udzielenie zamówienia publicznego prowadzonego </w:t>
      </w:r>
      <w:r w:rsidR="00C9214C" w:rsidRPr="00F71BA6">
        <w:rPr>
          <w:sz w:val="22"/>
          <w:szCs w:val="22"/>
        </w:rPr>
        <w:br/>
      </w:r>
      <w:r w:rsidR="00465F49" w:rsidRPr="00F71BA6">
        <w:rPr>
          <w:sz w:val="22"/>
          <w:szCs w:val="22"/>
        </w:rPr>
        <w:t>w trybie podstawowym z fakultatywnymi negocjacjami o wartości zamówienia nie przekraczającej progów unijnych o jakich stanowi art. 3 ustawy z 11 września 2019 r. - Prawo zamówień publicznych – dalej p.z.p. na</w:t>
      </w:r>
      <w:r w:rsidRPr="00F71BA6">
        <w:rPr>
          <w:sz w:val="22"/>
          <w:szCs w:val="22"/>
        </w:rPr>
        <w:t xml:space="preserve"> </w:t>
      </w:r>
      <w:r w:rsidRPr="00F71BA6">
        <w:rPr>
          <w:sz w:val="22"/>
          <w:szCs w:val="22"/>
          <w:u w:val="single"/>
        </w:rPr>
        <w:t>roboty budowlane</w:t>
      </w:r>
      <w:r w:rsidRPr="00F71BA6">
        <w:rPr>
          <w:sz w:val="22"/>
          <w:szCs w:val="22"/>
        </w:rPr>
        <w:t xml:space="preserve"> </w:t>
      </w:r>
      <w:r w:rsidR="00465F49" w:rsidRPr="00F71BA6">
        <w:rPr>
          <w:sz w:val="22"/>
          <w:szCs w:val="22"/>
        </w:rPr>
        <w:t>pn.</w:t>
      </w:r>
    </w:p>
    <w:p w14:paraId="205AA450" w14:textId="3CFE4E2B" w:rsidR="00465F49" w:rsidRPr="00F71BA6" w:rsidRDefault="00465F49" w:rsidP="000B3893">
      <w:pPr>
        <w:spacing w:before="480" w:after="480" w:line="360" w:lineRule="auto"/>
        <w:jc w:val="center"/>
        <w:rPr>
          <w:b/>
          <w:sz w:val="28"/>
          <w:szCs w:val="28"/>
        </w:rPr>
      </w:pPr>
      <w:r w:rsidRPr="00F71BA6">
        <w:rPr>
          <w:b/>
          <w:sz w:val="28"/>
          <w:szCs w:val="28"/>
        </w:rPr>
        <w:t>"</w:t>
      </w:r>
      <w:r w:rsidR="00931925" w:rsidRPr="00F71BA6">
        <w:rPr>
          <w:b/>
          <w:sz w:val="28"/>
          <w:szCs w:val="28"/>
        </w:rPr>
        <w:t xml:space="preserve"> </w:t>
      </w:r>
      <w:r w:rsidR="00417754" w:rsidRPr="00417754">
        <w:rPr>
          <w:b/>
          <w:sz w:val="28"/>
          <w:szCs w:val="28"/>
        </w:rPr>
        <w:t>Rozbudowa szkoły podstawowej w Miedniewicach – etap II</w:t>
      </w:r>
      <w:r w:rsidR="00606BE2">
        <w:rPr>
          <w:b/>
          <w:sz w:val="28"/>
          <w:szCs w:val="28"/>
        </w:rPr>
        <w:t>I</w:t>
      </w:r>
      <w:r w:rsidR="000B3893" w:rsidRPr="00F71BA6">
        <w:rPr>
          <w:b/>
          <w:sz w:val="28"/>
          <w:szCs w:val="28"/>
        </w:rPr>
        <w:t>”</w:t>
      </w:r>
    </w:p>
    <w:p w14:paraId="505E63B5" w14:textId="77777777" w:rsidR="00465F49" w:rsidRPr="00F71BA6" w:rsidRDefault="00465F49" w:rsidP="00465F49">
      <w:pPr>
        <w:tabs>
          <w:tab w:val="center" w:pos="4536"/>
          <w:tab w:val="left" w:pos="6945"/>
        </w:tabs>
        <w:spacing w:before="40" w:line="360" w:lineRule="auto"/>
        <w:jc w:val="center"/>
        <w:rPr>
          <w:b/>
          <w:color w:val="FF0000"/>
          <w:sz w:val="22"/>
          <w:szCs w:val="22"/>
        </w:rPr>
      </w:pPr>
      <w:r w:rsidRPr="00F71BA6">
        <w:rPr>
          <w:b/>
          <w:color w:val="FF0000"/>
          <w:sz w:val="22"/>
          <w:szCs w:val="22"/>
        </w:rPr>
        <w:t>Przedmiotowe postępowanie prowadzone jest przy użyciu środków komunikacji elektronicznej. Składanie ofert następuje za pośrednictwem platformy zakupowej dost</w:t>
      </w:r>
      <w:r w:rsidR="00716392" w:rsidRPr="00F71BA6">
        <w:rPr>
          <w:b/>
          <w:color w:val="FF0000"/>
          <w:sz w:val="22"/>
          <w:szCs w:val="22"/>
        </w:rPr>
        <w:t>ępnej pod adresem internetowym: https://platformazakupowa.pl/pn/wiskitki</w:t>
      </w:r>
    </w:p>
    <w:p w14:paraId="5023FE01" w14:textId="5C9DBEC0" w:rsidR="00465F49" w:rsidRPr="00F71BA6" w:rsidRDefault="00465F49" w:rsidP="00465F49">
      <w:pPr>
        <w:tabs>
          <w:tab w:val="center" w:pos="4536"/>
          <w:tab w:val="left" w:pos="6945"/>
        </w:tabs>
        <w:spacing w:before="480" w:after="480" w:line="360" w:lineRule="auto"/>
        <w:jc w:val="center"/>
        <w:rPr>
          <w:caps/>
          <w:sz w:val="22"/>
          <w:szCs w:val="22"/>
        </w:rPr>
      </w:pPr>
      <w:r w:rsidRPr="00F71BA6">
        <w:rPr>
          <w:sz w:val="22"/>
          <w:szCs w:val="22"/>
        </w:rPr>
        <w:t>Nr postępowania:</w:t>
      </w:r>
      <w:r w:rsidR="00716392" w:rsidRPr="00F71BA6">
        <w:rPr>
          <w:sz w:val="22"/>
          <w:szCs w:val="22"/>
        </w:rPr>
        <w:t xml:space="preserve"> IZRK.271</w:t>
      </w:r>
      <w:r w:rsidR="008368AB">
        <w:rPr>
          <w:sz w:val="22"/>
          <w:szCs w:val="22"/>
        </w:rPr>
        <w:t>.</w:t>
      </w:r>
      <w:r w:rsidR="00801FCE">
        <w:rPr>
          <w:sz w:val="22"/>
          <w:szCs w:val="22"/>
        </w:rPr>
        <w:t>4</w:t>
      </w:r>
      <w:r w:rsidR="00716392" w:rsidRPr="00F71BA6">
        <w:rPr>
          <w:sz w:val="22"/>
          <w:szCs w:val="22"/>
        </w:rPr>
        <w:t>.202</w:t>
      </w:r>
      <w:r w:rsidR="001E3BBE">
        <w:rPr>
          <w:sz w:val="22"/>
          <w:szCs w:val="22"/>
        </w:rPr>
        <w:t>4</w:t>
      </w:r>
    </w:p>
    <w:p w14:paraId="0E4818BD" w14:textId="19EBAA87" w:rsidR="00C63065" w:rsidRDefault="001E3BBE" w:rsidP="000B0E00">
      <w:pPr>
        <w:pStyle w:val="Tytu"/>
        <w:spacing w:before="120" w:after="40" w:line="360" w:lineRule="auto"/>
        <w:rPr>
          <w:rFonts w:ascii="Times New Roman" w:hAnsi="Times New Roman"/>
          <w:caps/>
          <w:sz w:val="28"/>
          <w:szCs w:val="22"/>
        </w:rPr>
      </w:pPr>
      <w:r>
        <w:rPr>
          <w:rFonts w:ascii="Times New Roman" w:hAnsi="Times New Roman"/>
          <w:caps/>
          <w:sz w:val="28"/>
          <w:szCs w:val="22"/>
        </w:rPr>
        <w:t>MARZEC 2024</w:t>
      </w:r>
    </w:p>
    <w:p w14:paraId="5F50B6A5" w14:textId="7EE9C4CD" w:rsidR="000B0E00" w:rsidRPr="000B0E00" w:rsidRDefault="000B0E00" w:rsidP="000B0E00">
      <w:pPr>
        <w:pStyle w:val="Tytu"/>
        <w:spacing w:before="120" w:after="40" w:line="360" w:lineRule="auto"/>
        <w:jc w:val="left"/>
        <w:rPr>
          <w:rFonts w:ascii="Times New Roman" w:hAnsi="Times New Roman"/>
          <w:caps/>
          <w:sz w:val="28"/>
          <w:szCs w:val="22"/>
        </w:rPr>
        <w:sectPr w:rsidR="000B0E00" w:rsidRPr="000B0E00"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367BC2D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4EF79D8" w14:textId="77777777" w:rsidR="006204E8" w:rsidRPr="00B50DEF" w:rsidRDefault="00B50DEF" w:rsidP="000B0E00">
      <w:pPr>
        <w:spacing w:before="240" w:line="276" w:lineRule="auto"/>
        <w:ind w:left="284"/>
        <w:jc w:val="both"/>
        <w:rPr>
          <w:b/>
          <w:szCs w:val="20"/>
        </w:rPr>
      </w:pPr>
      <w:r w:rsidRPr="00B50DEF">
        <w:rPr>
          <w:b/>
          <w:szCs w:val="20"/>
        </w:rPr>
        <w:t>Gmina Wiskitki</w:t>
      </w:r>
    </w:p>
    <w:p w14:paraId="322219FA" w14:textId="77777777" w:rsidR="001B2E05" w:rsidRPr="00171095" w:rsidRDefault="001B2E05" w:rsidP="000B0E00">
      <w:pPr>
        <w:spacing w:line="276"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614B62BC" w14:textId="77777777" w:rsidR="001B2E05" w:rsidRPr="00171095" w:rsidRDefault="00F2474E" w:rsidP="000B0E00">
      <w:pPr>
        <w:spacing w:line="276" w:lineRule="auto"/>
        <w:ind w:left="284"/>
        <w:jc w:val="both"/>
        <w:rPr>
          <w:szCs w:val="20"/>
        </w:rPr>
      </w:pPr>
      <w:r w:rsidRPr="00171095">
        <w:rPr>
          <w:szCs w:val="20"/>
        </w:rPr>
        <w:t xml:space="preserve">Tel.: </w:t>
      </w:r>
      <w:r w:rsidR="00B50DEF">
        <w:rPr>
          <w:szCs w:val="20"/>
        </w:rPr>
        <w:t>46 854 50 10</w:t>
      </w:r>
    </w:p>
    <w:p w14:paraId="2417BB1D" w14:textId="77777777" w:rsidR="001B2E05" w:rsidRPr="000C7CD0" w:rsidRDefault="001B2E05" w:rsidP="000B0E00">
      <w:pPr>
        <w:spacing w:line="276" w:lineRule="auto"/>
        <w:ind w:left="284"/>
        <w:jc w:val="both"/>
        <w:rPr>
          <w:szCs w:val="20"/>
          <w:lang w:val="en-US"/>
        </w:rPr>
      </w:pPr>
      <w:r w:rsidRPr="000C7CD0">
        <w:rPr>
          <w:szCs w:val="20"/>
          <w:lang w:val="en-US"/>
        </w:rPr>
        <w:t xml:space="preserve">NIP: </w:t>
      </w:r>
      <w:r w:rsidR="00B50DEF" w:rsidRPr="000C7CD0">
        <w:rPr>
          <w:szCs w:val="20"/>
          <w:lang w:val="en-US"/>
        </w:rPr>
        <w:t>8381426466</w:t>
      </w:r>
    </w:p>
    <w:p w14:paraId="3D7201D4" w14:textId="77777777" w:rsidR="00614013" w:rsidRPr="0097670B" w:rsidRDefault="0042601D" w:rsidP="000B0E00">
      <w:pPr>
        <w:spacing w:before="240" w:line="276" w:lineRule="auto"/>
        <w:ind w:left="284"/>
        <w:jc w:val="both"/>
        <w:rPr>
          <w:szCs w:val="20"/>
          <w:lang w:val="en-US"/>
        </w:rPr>
      </w:pPr>
      <w:r w:rsidRPr="0097670B">
        <w:rPr>
          <w:szCs w:val="20"/>
          <w:lang w:val="en-US"/>
        </w:rPr>
        <w:t>A</w:t>
      </w:r>
      <w:r w:rsidR="001B2E05" w:rsidRPr="0097670B">
        <w:rPr>
          <w:szCs w:val="20"/>
          <w:lang w:val="en-US"/>
        </w:rPr>
        <w:t xml:space="preserve">dres e-mail: </w:t>
      </w:r>
      <w:r w:rsidR="00B50DEF" w:rsidRPr="0097670B">
        <w:rPr>
          <w:szCs w:val="20"/>
          <w:lang w:val="en-US"/>
        </w:rPr>
        <w:t xml:space="preserve">sekretariat@wiskitki.pl / konrad.gruza@wiskitki.pl </w:t>
      </w:r>
    </w:p>
    <w:p w14:paraId="59BD07FE" w14:textId="77777777" w:rsidR="00055167" w:rsidRDefault="00055167" w:rsidP="000B0E00">
      <w:pPr>
        <w:spacing w:before="240" w:line="276"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43E87D48" w14:textId="77777777" w:rsidR="00B50DEF" w:rsidRDefault="000C7CD0" w:rsidP="000B0E00">
      <w:pPr>
        <w:pStyle w:val="Akapitzlist"/>
        <w:numPr>
          <w:ilvl w:val="0"/>
          <w:numId w:val="20"/>
        </w:numPr>
        <w:spacing w:before="240" w:line="276" w:lineRule="auto"/>
        <w:jc w:val="both"/>
        <w:rPr>
          <w:szCs w:val="20"/>
        </w:rPr>
      </w:pPr>
      <w:hyperlink r:id="rId10" w:history="1">
        <w:r w:rsidR="00B50DEF" w:rsidRPr="00661413">
          <w:rPr>
            <w:rStyle w:val="Hipercze"/>
            <w:szCs w:val="20"/>
          </w:rPr>
          <w:t>https://platformazakupowa.pl/pn/wiskitki</w:t>
        </w:r>
      </w:hyperlink>
    </w:p>
    <w:p w14:paraId="2B6CFFBA" w14:textId="77777777" w:rsidR="001B2E05" w:rsidRDefault="001B2E05" w:rsidP="000B0E00">
      <w:pPr>
        <w:spacing w:before="240" w:line="276" w:lineRule="auto"/>
        <w:ind w:left="284"/>
        <w:jc w:val="both"/>
        <w:rPr>
          <w:szCs w:val="20"/>
        </w:rPr>
      </w:pPr>
      <w:r w:rsidRPr="00171095">
        <w:rPr>
          <w:szCs w:val="20"/>
        </w:rPr>
        <w:t>Godziny pracy:</w:t>
      </w:r>
      <w:r w:rsidR="00B50DEF">
        <w:rPr>
          <w:szCs w:val="20"/>
        </w:rPr>
        <w:t xml:space="preserve"> poniedziałki, środy, czwartki – 8:00 – 16:00</w:t>
      </w:r>
    </w:p>
    <w:p w14:paraId="0F9B5345" w14:textId="77777777" w:rsidR="00B50DEF" w:rsidRDefault="00B50DEF" w:rsidP="000B0E00">
      <w:pPr>
        <w:spacing w:before="240" w:line="276" w:lineRule="auto"/>
        <w:ind w:left="284"/>
        <w:jc w:val="both"/>
        <w:rPr>
          <w:szCs w:val="20"/>
        </w:rPr>
      </w:pPr>
      <w:r>
        <w:rPr>
          <w:szCs w:val="20"/>
        </w:rPr>
        <w:t>wtorki – 8:00 – 17:00</w:t>
      </w:r>
    </w:p>
    <w:p w14:paraId="54D64998" w14:textId="77777777" w:rsidR="00B50DEF" w:rsidRPr="00171095" w:rsidRDefault="00B50DEF" w:rsidP="000B0E00">
      <w:pPr>
        <w:spacing w:before="240" w:line="276" w:lineRule="auto"/>
        <w:ind w:left="284"/>
        <w:jc w:val="both"/>
        <w:rPr>
          <w:szCs w:val="20"/>
        </w:rPr>
      </w:pPr>
      <w:r>
        <w:rPr>
          <w:szCs w:val="20"/>
        </w:rPr>
        <w:t>piątki – 8:00 – 15:00</w:t>
      </w:r>
    </w:p>
    <w:p w14:paraId="3BD229A8" w14:textId="77777777" w:rsidR="00651132" w:rsidRPr="00171095" w:rsidRDefault="00171095" w:rsidP="00C4508B">
      <w:pPr>
        <w:pStyle w:val="NagwekSWZ"/>
      </w:pPr>
      <w:r w:rsidRPr="00171095">
        <w:t>II.</w:t>
      </w:r>
      <w:r w:rsidRPr="00171095">
        <w:tab/>
      </w:r>
      <w:r w:rsidR="007A3EC3" w:rsidRPr="00171095">
        <w:t>OCHRONA DANYCH OSOBOWYCH</w:t>
      </w:r>
    </w:p>
    <w:p w14:paraId="0894D8EB" w14:textId="3C231BD5"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 xml:space="preserve">Zgodnie z art. 13 ust. 1 i 2 rozporządzenia Parlamentu Europejskiego i Rady (UE) 2016/679 z dnia 27 kwietnia 2016 r. w sprawie ochrony osób fizycznych w związku </w:t>
      </w:r>
      <w:r w:rsidR="00513407">
        <w:br/>
      </w:r>
      <w:r w:rsidR="003D6AA5" w:rsidRPr="00171095">
        <w:t>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51525C67"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5FAFBBA0"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1" w:history="1">
        <w:r w:rsidR="00B50DEF" w:rsidRPr="00661413">
          <w:rPr>
            <w:rStyle w:val="Hipercze"/>
          </w:rPr>
          <w:t>jrkdoradztwo@gmail.com</w:t>
        </w:r>
      </w:hyperlink>
      <w:r w:rsidR="00B50DEF">
        <w:t xml:space="preserve"> </w:t>
      </w:r>
      <w:r w:rsidR="006204E8" w:rsidRPr="00171095">
        <w:t>.</w:t>
      </w:r>
    </w:p>
    <w:p w14:paraId="68A5880A" w14:textId="77777777" w:rsidR="00513407"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t>
      </w:r>
    </w:p>
    <w:p w14:paraId="73BDCBA7" w14:textId="60DAFA1A" w:rsidR="00A816A6" w:rsidRPr="00171095" w:rsidRDefault="00513407" w:rsidP="001353AD">
      <w:pPr>
        <w:pStyle w:val="pkt"/>
        <w:spacing w:before="0" w:after="0" w:line="360" w:lineRule="auto"/>
        <w:ind w:left="852" w:hanging="426"/>
      </w:pPr>
      <w:r>
        <w:rPr>
          <w:b/>
        </w:rPr>
        <w:t xml:space="preserve">        </w:t>
      </w:r>
      <w:r w:rsidR="00A816A6" w:rsidRPr="00171095">
        <w:t xml:space="preserve">w celu związanym z przedmiotowym postępowaniem o udzielenie zamówienia publicznego, prowadzonym w trybie </w:t>
      </w:r>
      <w:r w:rsidR="00B50DEF">
        <w:t>podstawowym</w:t>
      </w:r>
      <w:r w:rsidR="006204E8" w:rsidRPr="00171095">
        <w:t>.</w:t>
      </w:r>
    </w:p>
    <w:p w14:paraId="533AC066" w14:textId="77777777" w:rsidR="00800EFF" w:rsidRPr="00171095" w:rsidRDefault="00171095" w:rsidP="001353AD">
      <w:pPr>
        <w:pStyle w:val="pkt"/>
        <w:spacing w:before="0" w:after="0" w:line="360" w:lineRule="auto"/>
        <w:ind w:left="852" w:hanging="426"/>
      </w:pPr>
      <w:r w:rsidRPr="00171095">
        <w:rPr>
          <w:b/>
        </w:rPr>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0FF3F747"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 xml:space="preserve">przez okres 4 lat od dnia zakończenia postępowania o udzielenie zamówienia, a jeżeli czas </w:t>
      </w:r>
      <w:r w:rsidR="00800EFF" w:rsidRPr="00171095">
        <w:lastRenderedPageBreak/>
        <w:t>trwania umowy przekracza 4 lata, okres przechowywania obejmuje cały czas trwania umowy;</w:t>
      </w:r>
    </w:p>
    <w:p w14:paraId="1D6219B0"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78045EF"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C9214C">
        <w:br/>
      </w:r>
      <w:r w:rsidR="00800EFF" w:rsidRPr="00171095">
        <w:t>w sposób zautomatyzowany, stosownie do art. 22 RODO</w:t>
      </w:r>
      <w:r w:rsidR="006204E8" w:rsidRPr="00171095">
        <w:t>.</w:t>
      </w:r>
    </w:p>
    <w:p w14:paraId="6F07C939"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8BF8306"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61245A4"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06064A7F"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3A649A2B" w14:textId="77777777" w:rsidR="00E859D0" w:rsidRPr="00171095" w:rsidRDefault="00171095" w:rsidP="00F73A87">
      <w:pPr>
        <w:pStyle w:val="pkt"/>
        <w:spacing w:before="0" w:after="0" w:line="360" w:lineRule="auto"/>
        <w:ind w:left="1278" w:hanging="427"/>
      </w:pPr>
      <w:r w:rsidRPr="00171095">
        <w:rPr>
          <w:b/>
        </w:rPr>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407B27A8"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4FAD2F2C" w14:textId="77777777" w:rsidR="00365896" w:rsidRPr="00171095" w:rsidRDefault="00171095" w:rsidP="00F73A87">
      <w:pPr>
        <w:pStyle w:val="pkt"/>
        <w:spacing w:before="0" w:after="0" w:line="360" w:lineRule="auto"/>
        <w:ind w:left="1278" w:hanging="427"/>
      </w:pPr>
      <w:r w:rsidRPr="00171095">
        <w:rPr>
          <w:b/>
        </w:rPr>
        <w:lastRenderedPageBreak/>
        <w:t>a)</w:t>
      </w:r>
      <w:r w:rsidRPr="00171095">
        <w:rPr>
          <w:b/>
        </w:rPr>
        <w:tab/>
      </w:r>
      <w:r w:rsidR="00365896" w:rsidRPr="00171095">
        <w:t>w związku z art. 17 ust. 3 lit. b, d lub e RODO prawo do usunięcia danych osobowych;</w:t>
      </w:r>
    </w:p>
    <w:p w14:paraId="41F78E57"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511C73E6"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4B9725A8"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 xml:space="preserve">rganem właściwym dla przedmiotowej skargi jest Urząd Ochrony Danych Osobowych, </w:t>
      </w:r>
      <w:r w:rsidR="00C9214C">
        <w:br/>
      </w:r>
      <w:r w:rsidR="00365896" w:rsidRPr="00171095">
        <w:t>ul. Stawki 2, 00-193 Warszawa.</w:t>
      </w:r>
    </w:p>
    <w:p w14:paraId="008C757A" w14:textId="77777777" w:rsidR="007B7462" w:rsidRPr="00171095" w:rsidRDefault="00171095" w:rsidP="00C4508B">
      <w:pPr>
        <w:pStyle w:val="NagwekSWZ"/>
      </w:pPr>
      <w:r w:rsidRPr="00171095">
        <w:t>III.</w:t>
      </w:r>
      <w:r w:rsidRPr="00171095">
        <w:tab/>
      </w:r>
      <w:r w:rsidR="007B7462" w:rsidRPr="00171095">
        <w:t>TRYB UDZIELENIA ZAMÓWIENIA</w:t>
      </w:r>
    </w:p>
    <w:p w14:paraId="27837BD3"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7A321176"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DD4CFF7"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C9214C">
        <w:br/>
      </w:r>
      <w:r w:rsidR="006204E8" w:rsidRPr="00171095">
        <w:t xml:space="preserve">o jakich mowa w art. 3 ustawy </w:t>
      </w:r>
      <w:r w:rsidR="008A3A90" w:rsidRPr="00171095">
        <w:t xml:space="preserve">p.z.p. </w:t>
      </w:r>
      <w:r w:rsidR="006204E8" w:rsidRPr="00171095">
        <w:t xml:space="preserve"> </w:t>
      </w:r>
    </w:p>
    <w:p w14:paraId="183B3523"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327243AD"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649B1405"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2C5BEB4B"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5D5E702A"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01E5E2"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62DCD4C8"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4CDBFA03" w14:textId="7BE1573F" w:rsidR="00941972" w:rsidRPr="00171095" w:rsidRDefault="001C26EA" w:rsidP="0019688F">
      <w:pPr>
        <w:pStyle w:val="pkt"/>
        <w:spacing w:before="0" w:after="0" w:line="360" w:lineRule="auto"/>
        <w:ind w:left="426" w:hanging="426"/>
      </w:pPr>
      <w:r>
        <w:rPr>
          <w:b/>
        </w:rPr>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 xml:space="preserve">z dnia </w:t>
      </w:r>
      <w:r w:rsidR="00171095" w:rsidRPr="00171095">
        <w:lastRenderedPageBreak/>
        <w:t>26.06.1974 r</w:t>
      </w:r>
      <w:r w:rsidR="00941972" w:rsidRPr="00171095">
        <w:t xml:space="preserve">. - Kodeks pracy </w:t>
      </w:r>
      <w:r w:rsidR="00F8048E">
        <w:t>(</w:t>
      </w:r>
      <w:r w:rsidR="00F8048E" w:rsidRPr="00F8048E">
        <w:t>Dz.U.2023</w:t>
      </w:r>
      <w:r w:rsidR="00F8048E">
        <w:t xml:space="preserve"> poz. </w:t>
      </w:r>
      <w:r w:rsidR="00F8048E" w:rsidRPr="00F8048E">
        <w:t>1465</w:t>
      </w:r>
      <w:r w:rsidR="00941972" w:rsidRPr="00171095">
        <w:t>)</w:t>
      </w:r>
      <w:r w:rsidR="0064415A" w:rsidRPr="00171095">
        <w:t xml:space="preserve"> obejmują następujące </w:t>
      </w:r>
      <w:r w:rsidR="006F6862" w:rsidRPr="00171095">
        <w:t xml:space="preserve">rodzaje czynności: </w:t>
      </w:r>
    </w:p>
    <w:p w14:paraId="2E131A82"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DECC9C4"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14:paraId="70052430"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C9214C">
        <w:br/>
      </w:r>
      <w:r w:rsidR="004836E1" w:rsidRPr="00171095">
        <w:t>o których mowa w art. 96 ust. 2 pkt 2</w:t>
      </w:r>
      <w:r w:rsidR="006418E5" w:rsidRPr="00171095">
        <w:t xml:space="preserve"> p.z.p. </w:t>
      </w:r>
    </w:p>
    <w:p w14:paraId="104A4A4A" w14:textId="77777777"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 xml:space="preserve">powinien zostać zrealizowany zgodnie z dołączoną dokumentacją projektową oraz specyfikacją techniczną wykonania i odbioru robót (stwior). </w:t>
      </w:r>
      <w:r>
        <w:t>Zamawiający zastrzega, że w przypadku wątpliwości interpretacyjnych pierwszeństwo będą miały zapisy SWZ, a następnie zapisy wzoru  umowy.</w:t>
      </w:r>
    </w:p>
    <w:p w14:paraId="0D10AE4F"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0C715130" w14:textId="4D0F9FA4" w:rsidR="00417754" w:rsidRDefault="001C26EA" w:rsidP="00FD2CD9">
      <w:pPr>
        <w:pStyle w:val="pkt"/>
        <w:numPr>
          <w:ilvl w:val="0"/>
          <w:numId w:val="29"/>
        </w:numPr>
        <w:spacing w:line="360" w:lineRule="auto"/>
        <w:ind w:left="556" w:hanging="556"/>
      </w:pPr>
      <w:bookmarkStart w:id="0" w:name="_Hlk130376561"/>
      <w:r>
        <w:t>Przedmiotem zamówienia są roboty budowlane polegające na</w:t>
      </w:r>
      <w:r w:rsidR="00AC7F2B">
        <w:t xml:space="preserve"> wykonaniu</w:t>
      </w:r>
      <w:r w:rsidR="00417754">
        <w:t>:</w:t>
      </w:r>
    </w:p>
    <w:p w14:paraId="35034A80" w14:textId="0ECDE21D" w:rsidR="00417754" w:rsidRDefault="00AC7F2B" w:rsidP="00AC7F2B">
      <w:pPr>
        <w:pStyle w:val="pkt"/>
        <w:numPr>
          <w:ilvl w:val="0"/>
          <w:numId w:val="31"/>
        </w:numPr>
        <w:spacing w:line="360" w:lineRule="auto"/>
      </w:pPr>
      <w:r>
        <w:t>ocieplenia projektowanego budynku,</w:t>
      </w:r>
    </w:p>
    <w:p w14:paraId="681486C8" w14:textId="4FCCA0DE" w:rsidR="00AC7F2B" w:rsidRDefault="00AC7F2B" w:rsidP="00AC7F2B">
      <w:pPr>
        <w:pStyle w:val="pkt"/>
        <w:numPr>
          <w:ilvl w:val="0"/>
          <w:numId w:val="31"/>
        </w:numPr>
        <w:spacing w:line="360" w:lineRule="auto"/>
      </w:pPr>
      <w:r>
        <w:t>elewacji całego obiektu,</w:t>
      </w:r>
    </w:p>
    <w:p w14:paraId="54DC0821" w14:textId="3843DA7F" w:rsidR="00AC7F2B" w:rsidRDefault="00AC7F2B" w:rsidP="00AC7F2B">
      <w:pPr>
        <w:pStyle w:val="pkt"/>
        <w:numPr>
          <w:ilvl w:val="0"/>
          <w:numId w:val="31"/>
        </w:numPr>
        <w:spacing w:line="360" w:lineRule="auto"/>
      </w:pPr>
      <w:r>
        <w:t>drogi pożarowej,</w:t>
      </w:r>
    </w:p>
    <w:p w14:paraId="36E77704" w14:textId="41736B6F" w:rsidR="00AC7F2B" w:rsidRDefault="00AC7F2B" w:rsidP="00AC7F2B">
      <w:pPr>
        <w:pStyle w:val="pkt"/>
        <w:numPr>
          <w:ilvl w:val="0"/>
          <w:numId w:val="31"/>
        </w:numPr>
        <w:spacing w:line="360" w:lineRule="auto"/>
      </w:pPr>
      <w:r>
        <w:t>zagospodarowania terenu</w:t>
      </w:r>
    </w:p>
    <w:p w14:paraId="75118670" w14:textId="10126886" w:rsidR="00037C3D" w:rsidRDefault="00417754" w:rsidP="00417754">
      <w:pPr>
        <w:pStyle w:val="pkt"/>
        <w:spacing w:line="360" w:lineRule="auto"/>
        <w:ind w:left="556" w:firstLine="0"/>
      </w:pPr>
      <w:r w:rsidRPr="00417754">
        <w:t>Szkoły Podstawowej w Miedniewicach - działka o numerze ewidencyjnym 509, obręb geodezyjny Miedniewice, gm. Wiskitki; id: 143805_5.0017.509.</w:t>
      </w:r>
      <w:r w:rsidR="009F7CCA">
        <w:t xml:space="preserve"> </w:t>
      </w:r>
    </w:p>
    <w:bookmarkEnd w:id="0"/>
    <w:p w14:paraId="7EF68E43" w14:textId="4B983EC0" w:rsidR="00B440B9" w:rsidRDefault="00171095" w:rsidP="00B440B9">
      <w:pPr>
        <w:pStyle w:val="pkt"/>
        <w:spacing w:before="0" w:after="0" w:line="360" w:lineRule="auto"/>
        <w:ind w:left="425" w:hanging="426"/>
      </w:pPr>
      <w:r w:rsidRPr="00171095">
        <w:rPr>
          <w:b/>
        </w:rPr>
        <w:t>2.</w:t>
      </w:r>
      <w:r w:rsidRPr="00171095">
        <w:rPr>
          <w:b/>
        </w:rPr>
        <w:tab/>
      </w:r>
      <w:r w:rsidR="00E766A4">
        <w:t>Wspólny Słownik Zamówień CPV:</w:t>
      </w:r>
      <w:r w:rsidR="00B440B9" w:rsidRPr="00B440B9">
        <w:t xml:space="preserve"> </w:t>
      </w:r>
    </w:p>
    <w:p w14:paraId="493CF0C7" w14:textId="1093B0C3" w:rsidR="004D2522" w:rsidRPr="004D2522" w:rsidRDefault="002A1AE6" w:rsidP="004D2522">
      <w:pPr>
        <w:pStyle w:val="pkt"/>
        <w:spacing w:line="360" w:lineRule="auto"/>
        <w:ind w:left="425" w:hanging="426"/>
        <w:rPr>
          <w:bCs/>
        </w:rPr>
      </w:pPr>
      <w:r>
        <w:rPr>
          <w:b/>
        </w:rPr>
        <w:tab/>
      </w:r>
      <w:r w:rsidR="004D2522" w:rsidRPr="004D2522">
        <w:rPr>
          <w:bCs/>
        </w:rPr>
        <w:t>45200000-9 Roboty budowlane w zakresie wznoszenia kompletnych obiektów budowlanych lub ich części oraz roboty w zakresie inżynierii lądowej i wodnej</w:t>
      </w:r>
    </w:p>
    <w:p w14:paraId="1C28B43E" w14:textId="64B42632" w:rsidR="00161E5B" w:rsidRDefault="004D2522" w:rsidP="004D2522">
      <w:pPr>
        <w:pStyle w:val="pkt"/>
        <w:spacing w:before="0" w:after="0" w:line="360" w:lineRule="auto"/>
        <w:ind w:left="425" w:hanging="426"/>
        <w:rPr>
          <w:bCs/>
        </w:rPr>
      </w:pPr>
      <w:r w:rsidRPr="004D2522">
        <w:rPr>
          <w:bCs/>
        </w:rPr>
        <w:t xml:space="preserve">       45400000-1 Roboty wykończeniowe w zakresie obiektów budowlanych</w:t>
      </w:r>
    </w:p>
    <w:p w14:paraId="347EC10D" w14:textId="30F42BC9" w:rsidR="0023282D" w:rsidRDefault="0023282D" w:rsidP="0023282D">
      <w:pPr>
        <w:pStyle w:val="pkt"/>
        <w:spacing w:line="360" w:lineRule="auto"/>
        <w:ind w:left="425" w:hanging="426"/>
        <w:rPr>
          <w:color w:val="000000" w:themeColor="text1"/>
        </w:rPr>
      </w:pPr>
      <w:r>
        <w:rPr>
          <w:color w:val="000000" w:themeColor="text1"/>
        </w:rPr>
        <w:t xml:space="preserve">       </w:t>
      </w:r>
      <w:r w:rsidRPr="0023282D">
        <w:rPr>
          <w:color w:val="000000" w:themeColor="text1"/>
        </w:rPr>
        <w:t>45231300-8 Roboty budowlane w zakresie budowy wodociągów i rurociągów do odprowadzania ścieków</w:t>
      </w:r>
    </w:p>
    <w:p w14:paraId="7DC0E8E2" w14:textId="3410009F" w:rsidR="0023282D" w:rsidRPr="0023282D" w:rsidRDefault="0023282D" w:rsidP="0023282D">
      <w:pPr>
        <w:pStyle w:val="pkt"/>
        <w:spacing w:line="360" w:lineRule="auto"/>
        <w:ind w:left="425" w:hanging="426"/>
        <w:rPr>
          <w:color w:val="000000" w:themeColor="text1"/>
        </w:rPr>
      </w:pPr>
      <w:r>
        <w:rPr>
          <w:color w:val="000000" w:themeColor="text1"/>
        </w:rPr>
        <w:t xml:space="preserve">       </w:t>
      </w:r>
      <w:r w:rsidRPr="0023282D">
        <w:rPr>
          <w:color w:val="000000" w:themeColor="text1"/>
        </w:rPr>
        <w:t>45332300-6 Roboty instalacyjne kanalizacyjne</w:t>
      </w:r>
    </w:p>
    <w:p w14:paraId="6CB32C25" w14:textId="2DBB2CA2" w:rsidR="0023282D" w:rsidRPr="0023282D" w:rsidRDefault="0023282D" w:rsidP="0023282D">
      <w:pPr>
        <w:pStyle w:val="pkt"/>
        <w:spacing w:line="360" w:lineRule="auto"/>
        <w:ind w:left="425" w:hanging="426"/>
        <w:rPr>
          <w:color w:val="000000" w:themeColor="text1"/>
        </w:rPr>
      </w:pPr>
      <w:r>
        <w:rPr>
          <w:color w:val="000000" w:themeColor="text1"/>
        </w:rPr>
        <w:t xml:space="preserve">       </w:t>
      </w:r>
      <w:r w:rsidRPr="0023282D">
        <w:rPr>
          <w:color w:val="000000" w:themeColor="text1"/>
        </w:rPr>
        <w:t>45331000-6 Instalowanie urządzeń grzewczych, wentylacyjnych i klimatyzacyjnych</w:t>
      </w:r>
    </w:p>
    <w:p w14:paraId="622EC3F7" w14:textId="4C9D897A" w:rsidR="004D2522" w:rsidRDefault="0023282D" w:rsidP="0023282D">
      <w:pPr>
        <w:pStyle w:val="pkt"/>
        <w:spacing w:before="0" w:after="0" w:line="360" w:lineRule="auto"/>
        <w:ind w:left="425" w:hanging="426"/>
        <w:rPr>
          <w:color w:val="000000" w:themeColor="text1"/>
        </w:rPr>
      </w:pPr>
      <w:r>
        <w:rPr>
          <w:color w:val="000000" w:themeColor="text1"/>
        </w:rPr>
        <w:t xml:space="preserve">      </w:t>
      </w:r>
      <w:r w:rsidR="00FA14BE">
        <w:rPr>
          <w:color w:val="000000" w:themeColor="text1"/>
        </w:rPr>
        <w:t xml:space="preserve"> </w:t>
      </w:r>
      <w:r w:rsidRPr="0023282D">
        <w:rPr>
          <w:color w:val="000000" w:themeColor="text1"/>
        </w:rPr>
        <w:t>45331100-7 Instalowanie centralnego ogrzewania</w:t>
      </w:r>
    </w:p>
    <w:p w14:paraId="2C90B75D" w14:textId="77777777" w:rsidR="0023282D" w:rsidRPr="0023282D" w:rsidRDefault="0023282D" w:rsidP="0023282D">
      <w:pPr>
        <w:pStyle w:val="pkt"/>
        <w:spacing w:line="360" w:lineRule="auto"/>
        <w:ind w:left="425" w:hanging="426"/>
        <w:rPr>
          <w:color w:val="000000" w:themeColor="text1"/>
        </w:rPr>
      </w:pPr>
      <w:r>
        <w:rPr>
          <w:color w:val="000000" w:themeColor="text1"/>
        </w:rPr>
        <w:lastRenderedPageBreak/>
        <w:t xml:space="preserve">       </w:t>
      </w:r>
      <w:r w:rsidRPr="0023282D">
        <w:rPr>
          <w:color w:val="000000" w:themeColor="text1"/>
        </w:rPr>
        <w:t>45311100-1 Roboty w zakresie okablowania elektrycznego</w:t>
      </w:r>
    </w:p>
    <w:p w14:paraId="46D7302B" w14:textId="231CEB9A" w:rsidR="0023282D" w:rsidRPr="0023282D" w:rsidRDefault="0023282D" w:rsidP="0023282D">
      <w:pPr>
        <w:pStyle w:val="pkt"/>
        <w:spacing w:line="360" w:lineRule="auto"/>
        <w:ind w:left="425" w:hanging="426"/>
        <w:rPr>
          <w:color w:val="000000" w:themeColor="text1"/>
        </w:rPr>
      </w:pPr>
      <w:r>
        <w:rPr>
          <w:color w:val="000000" w:themeColor="text1"/>
        </w:rPr>
        <w:t xml:space="preserve">       </w:t>
      </w:r>
      <w:r w:rsidRPr="0023282D">
        <w:rPr>
          <w:color w:val="000000" w:themeColor="text1"/>
        </w:rPr>
        <w:t>45311200-2 Roboty w zakresie instalacji elektrycznych</w:t>
      </w:r>
    </w:p>
    <w:p w14:paraId="485FC31A" w14:textId="22528AA6" w:rsidR="0023282D" w:rsidRPr="0023282D" w:rsidRDefault="0023282D" w:rsidP="0023282D">
      <w:pPr>
        <w:pStyle w:val="pkt"/>
        <w:spacing w:line="360" w:lineRule="auto"/>
        <w:ind w:left="425" w:hanging="426"/>
        <w:rPr>
          <w:color w:val="000000" w:themeColor="text1"/>
        </w:rPr>
      </w:pPr>
      <w:r>
        <w:rPr>
          <w:color w:val="000000" w:themeColor="text1"/>
        </w:rPr>
        <w:t xml:space="preserve">       </w:t>
      </w:r>
      <w:r w:rsidRPr="0023282D">
        <w:rPr>
          <w:color w:val="000000" w:themeColor="text1"/>
        </w:rPr>
        <w:t>45317300-5 Elektryczne elektrycznych urządzeń rozdzielczych</w:t>
      </w:r>
    </w:p>
    <w:p w14:paraId="1CCCA25A" w14:textId="3EC68EA0" w:rsidR="0023282D" w:rsidRPr="0023282D" w:rsidRDefault="0023282D" w:rsidP="0023282D">
      <w:pPr>
        <w:pStyle w:val="pkt"/>
        <w:spacing w:line="360" w:lineRule="auto"/>
        <w:ind w:left="425" w:hanging="426"/>
        <w:rPr>
          <w:color w:val="000000" w:themeColor="text1"/>
        </w:rPr>
      </w:pPr>
      <w:r>
        <w:rPr>
          <w:color w:val="000000" w:themeColor="text1"/>
        </w:rPr>
        <w:t xml:space="preserve">       </w:t>
      </w:r>
      <w:r w:rsidRPr="0023282D">
        <w:rPr>
          <w:color w:val="000000" w:themeColor="text1"/>
        </w:rPr>
        <w:t>45314320-0 Instalowanie okablowania komputerowego</w:t>
      </w:r>
    </w:p>
    <w:p w14:paraId="0E083CF1" w14:textId="5526A4EC" w:rsidR="0023282D" w:rsidRDefault="0023282D" w:rsidP="0023282D">
      <w:pPr>
        <w:pStyle w:val="pkt"/>
        <w:spacing w:before="0" w:after="0" w:line="360" w:lineRule="auto"/>
        <w:ind w:left="425" w:hanging="426"/>
        <w:rPr>
          <w:color w:val="000000" w:themeColor="text1"/>
        </w:rPr>
      </w:pPr>
      <w:r>
        <w:rPr>
          <w:color w:val="000000" w:themeColor="text1"/>
        </w:rPr>
        <w:t xml:space="preserve">       </w:t>
      </w:r>
      <w:r w:rsidR="000C7CD0" w:rsidRPr="000C7CD0">
        <w:rPr>
          <w:color w:val="000000" w:themeColor="text1"/>
        </w:rPr>
        <w:t>45312310-3 Ochrona odgromowa</w:t>
      </w:r>
    </w:p>
    <w:p w14:paraId="4C482174" w14:textId="77777777" w:rsidR="0023282D" w:rsidRPr="00E047B2" w:rsidRDefault="0023282D" w:rsidP="0023282D">
      <w:pPr>
        <w:pStyle w:val="pkt"/>
        <w:spacing w:before="0" w:after="0" w:line="360" w:lineRule="auto"/>
        <w:ind w:left="425" w:hanging="426"/>
        <w:rPr>
          <w:color w:val="000000" w:themeColor="text1"/>
        </w:rPr>
      </w:pPr>
    </w:p>
    <w:p w14:paraId="53AC67C5" w14:textId="29F317FC" w:rsidR="001A561B" w:rsidRDefault="001C26EA" w:rsidP="00B440B9">
      <w:pPr>
        <w:pStyle w:val="pkt"/>
        <w:spacing w:line="360" w:lineRule="auto"/>
        <w:ind w:left="426"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EF1C24">
        <w:rPr>
          <w:bCs/>
        </w:rPr>
        <w:t xml:space="preserve"> oraz przedmiar robót</w:t>
      </w:r>
      <w:r w:rsidR="00464F9F" w:rsidRPr="00171095">
        <w:t>.</w:t>
      </w:r>
      <w:r w:rsidR="00606BE2">
        <w:t xml:space="preserve"> </w:t>
      </w:r>
    </w:p>
    <w:p w14:paraId="1815DB0B" w14:textId="77777777" w:rsidR="008736B4" w:rsidRDefault="00E766A4" w:rsidP="001A561B">
      <w:pPr>
        <w:pStyle w:val="pkt"/>
        <w:spacing w:before="0" w:after="0" w:line="360" w:lineRule="auto"/>
        <w:ind w:left="425" w:hanging="426"/>
      </w:pPr>
      <w:r>
        <w:rPr>
          <w:b/>
        </w:rPr>
        <w:t>4</w:t>
      </w:r>
      <w:r w:rsidR="008736B4">
        <w:rPr>
          <w:b/>
        </w:rPr>
        <w:t>.</w:t>
      </w:r>
      <w:r w:rsidR="008736B4">
        <w:tab/>
        <w:t>Zamawiający wymaga, aby Wykonawcy zagwarantowali co najmniej 36 miesięczny okres gwarancji na wykonane roboty budowlane, licząc od dnia podpisania przez obydwie strony umowy protokołu końcowego odbioru robót.</w:t>
      </w:r>
    </w:p>
    <w:p w14:paraId="1980ECBF" w14:textId="5E915FD2" w:rsidR="00B440B9" w:rsidRPr="0040235B" w:rsidRDefault="00B440B9" w:rsidP="001A561B">
      <w:pPr>
        <w:pStyle w:val="pkt"/>
        <w:spacing w:before="0" w:after="0" w:line="360" w:lineRule="auto"/>
        <w:ind w:left="425" w:hanging="426"/>
        <w:rPr>
          <w:color w:val="FF0000"/>
        </w:rPr>
      </w:pPr>
      <w:r w:rsidRPr="00B37321">
        <w:rPr>
          <w:b/>
          <w:color w:val="000000" w:themeColor="text1"/>
        </w:rPr>
        <w:t>5.</w:t>
      </w:r>
      <w:r w:rsidRPr="00B37321">
        <w:rPr>
          <w:color w:val="000000" w:themeColor="text1"/>
        </w:rPr>
        <w:tab/>
        <w:t>Zamawiający informuje, że roboty muszą zostać wykonane zgodnie z dołączoną dokumentacją projektową</w:t>
      </w:r>
      <w:r w:rsidR="00EF2318">
        <w:rPr>
          <w:color w:val="000000" w:themeColor="text1"/>
        </w:rPr>
        <w:t>, przedmiarową oraz OPZ</w:t>
      </w:r>
      <w:r w:rsidR="00B37321">
        <w:rPr>
          <w:color w:val="000000" w:themeColor="text1"/>
        </w:rPr>
        <w:t>.</w:t>
      </w:r>
      <w:r w:rsidR="008368AB">
        <w:rPr>
          <w:color w:val="000000" w:themeColor="text1"/>
        </w:rPr>
        <w:t xml:space="preserve"> </w:t>
      </w:r>
    </w:p>
    <w:p w14:paraId="5C9B6972" w14:textId="77777777" w:rsidR="00470997" w:rsidRPr="00E04587" w:rsidRDefault="00306178" w:rsidP="00470997">
      <w:pPr>
        <w:pStyle w:val="pkt"/>
        <w:spacing w:before="0" w:after="0" w:line="360" w:lineRule="auto"/>
        <w:ind w:left="425" w:hanging="426"/>
      </w:pPr>
      <w:r>
        <w:rPr>
          <w:b/>
        </w:rPr>
        <w:t>6.</w:t>
      </w:r>
      <w:r>
        <w:tab/>
        <w:t>Dołączony do</w:t>
      </w:r>
      <w:r w:rsidRPr="00E04587">
        <w:t xml:space="preserve"> postępowania przedmiar robót stanowi jedynie funkcję pomocniczą przy konstruowaniu oferty i jego treść nie jest wiążąca dla Wykonawcy podczas obliczania ceny ofertowej.</w:t>
      </w:r>
    </w:p>
    <w:p w14:paraId="02743E9D" w14:textId="77777777" w:rsidR="000C59C6" w:rsidRDefault="00470997" w:rsidP="00EF1C24">
      <w:pPr>
        <w:pStyle w:val="pkt"/>
        <w:spacing w:line="360" w:lineRule="auto"/>
        <w:ind w:left="425" w:hanging="426"/>
      </w:pPr>
      <w:r w:rsidRPr="00E04587">
        <w:rPr>
          <w:b/>
        </w:rPr>
        <w:t>7.</w:t>
      </w:r>
      <w:r w:rsidRPr="00E04587">
        <w:tab/>
      </w:r>
      <w:r w:rsidR="000C59C6" w:rsidRPr="000C59C6">
        <w:t>Zadanie finansowane jest ze środków budżetu Gminy Wiskitki przy współudziale środków budżetu Województwa Mazowieckiego w ramach Instrumentu wsparcia zadań ważnych dla równomiernego rozwoju województwa mazowieckiego – umowa nr W/UMWM-UU/UM/RF/7262/2021 z dnia 3 stycznia 2022 r.</w:t>
      </w:r>
    </w:p>
    <w:p w14:paraId="01C804F2" w14:textId="77777777" w:rsidR="006204E8" w:rsidRPr="00171095" w:rsidRDefault="00171095" w:rsidP="00C4508B">
      <w:pPr>
        <w:pStyle w:val="NagwekSWZ"/>
      </w:pPr>
      <w:r w:rsidRPr="00171095">
        <w:t>V.</w:t>
      </w:r>
      <w:r w:rsidRPr="00171095">
        <w:tab/>
      </w:r>
      <w:r w:rsidR="006204E8" w:rsidRPr="00171095">
        <w:t>WIZJA LOKALNA</w:t>
      </w:r>
    </w:p>
    <w:p w14:paraId="71726C10" w14:textId="0215681F"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9214C">
        <w:br/>
      </w:r>
      <w:r w:rsidR="006204E8" w:rsidRPr="00171095">
        <w:t xml:space="preserve">w dyspozycji Zamawiającego. </w:t>
      </w:r>
      <w:r w:rsidR="001A561B">
        <w:t>Wykonawca jednakże ma możliwość dokonania wizji lokalnej dla własnych potrzeb</w:t>
      </w:r>
      <w:r w:rsidR="008368AB">
        <w:t>, do czego Zamawiający zachęca</w:t>
      </w:r>
      <w:r w:rsidR="001A561B">
        <w:t>.</w:t>
      </w:r>
    </w:p>
    <w:p w14:paraId="60EFBCB8" w14:textId="77777777" w:rsidR="00D65954"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ykonawcami.</w:t>
      </w:r>
    </w:p>
    <w:p w14:paraId="5B04E0E4" w14:textId="77777777" w:rsidR="0023282D" w:rsidRDefault="0023282D" w:rsidP="0019688F">
      <w:pPr>
        <w:pStyle w:val="pkt"/>
        <w:spacing w:before="0" w:after="0" w:line="360" w:lineRule="auto"/>
        <w:ind w:left="426" w:hanging="426"/>
      </w:pPr>
    </w:p>
    <w:p w14:paraId="273D37D4" w14:textId="77777777" w:rsidR="0023282D" w:rsidRDefault="0023282D" w:rsidP="0019688F">
      <w:pPr>
        <w:pStyle w:val="pkt"/>
        <w:spacing w:before="0" w:after="0" w:line="360" w:lineRule="auto"/>
        <w:ind w:left="426" w:hanging="426"/>
      </w:pPr>
    </w:p>
    <w:p w14:paraId="56098268" w14:textId="77777777" w:rsidR="00497A91" w:rsidRPr="00171095" w:rsidRDefault="00171095" w:rsidP="00C4508B">
      <w:pPr>
        <w:pStyle w:val="NagwekSWZ"/>
      </w:pPr>
      <w:r w:rsidRPr="00171095">
        <w:lastRenderedPageBreak/>
        <w:t>VI.</w:t>
      </w:r>
      <w:r w:rsidRPr="00171095">
        <w:tab/>
      </w:r>
      <w:r w:rsidR="00E8086A" w:rsidRPr="00171095">
        <w:t>PODWYKO</w:t>
      </w:r>
      <w:r w:rsidR="00CF6AE5" w:rsidRPr="00171095">
        <w:t>NAWSTWO</w:t>
      </w:r>
    </w:p>
    <w:p w14:paraId="45DCBEAD"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408BC618"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4D3B58FD"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78D1CCAE" w14:textId="77777777" w:rsidR="00E8086A" w:rsidRPr="00171095" w:rsidRDefault="00171095" w:rsidP="00C4508B">
      <w:pPr>
        <w:pStyle w:val="NagwekSWZ"/>
      </w:pPr>
      <w:r w:rsidRPr="00171095">
        <w:t>VII.</w:t>
      </w:r>
      <w:r w:rsidRPr="00171095">
        <w:tab/>
      </w:r>
      <w:r w:rsidR="00E8086A" w:rsidRPr="00171095">
        <w:t>TERMIN WYKONANIA ZAMÓWIENIA</w:t>
      </w:r>
    </w:p>
    <w:p w14:paraId="0F2D7841" w14:textId="16045F84" w:rsidR="004C0CDC" w:rsidRDefault="00171095" w:rsidP="004C0CDC">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 </w:t>
      </w:r>
      <w:r w:rsidR="00E53721" w:rsidRPr="00E53721">
        <w:rPr>
          <w:b/>
          <w:bCs/>
        </w:rPr>
        <w:t>3</w:t>
      </w:r>
      <w:r w:rsidR="009C59F2">
        <w:rPr>
          <w:b/>
          <w:bCs/>
        </w:rPr>
        <w:t>0</w:t>
      </w:r>
      <w:r w:rsidR="00606BE2" w:rsidRPr="009C59F2">
        <w:rPr>
          <w:b/>
          <w:bCs/>
        </w:rPr>
        <w:t xml:space="preserve"> </w:t>
      </w:r>
      <w:r w:rsidR="009C59F2" w:rsidRPr="009C59F2">
        <w:rPr>
          <w:b/>
          <w:bCs/>
        </w:rPr>
        <w:t>września</w:t>
      </w:r>
      <w:r w:rsidR="00606BE2" w:rsidRPr="009C59F2">
        <w:rPr>
          <w:b/>
          <w:bCs/>
        </w:rPr>
        <w:t xml:space="preserve"> 2024</w:t>
      </w:r>
      <w:r w:rsidR="001A561B" w:rsidRPr="009C59F2">
        <w:rPr>
          <w:b/>
          <w:bCs/>
        </w:rPr>
        <w:t xml:space="preserve"> roku</w:t>
      </w:r>
    </w:p>
    <w:p w14:paraId="388731EA" w14:textId="0CD2D476" w:rsidR="006204E8" w:rsidRDefault="00171095" w:rsidP="004C0CDC">
      <w:pPr>
        <w:pStyle w:val="pkt"/>
        <w:spacing w:before="24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3592B42D" w14:textId="77777777" w:rsidR="00E37F70" w:rsidRPr="00171095" w:rsidRDefault="00171095" w:rsidP="00C4508B">
      <w:pPr>
        <w:pStyle w:val="NagwekSWZ"/>
      </w:pPr>
      <w:r w:rsidRPr="00171095">
        <w:t>VIII.</w:t>
      </w:r>
      <w:r w:rsidRPr="00171095">
        <w:tab/>
      </w:r>
      <w:r w:rsidR="005B5095" w:rsidRPr="00171095">
        <w:t>WARUNKI UDZIAŁU W POSTĘPOWANIU</w:t>
      </w:r>
    </w:p>
    <w:p w14:paraId="5816F7D7"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14:paraId="042ED69D"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
    </w:p>
    <w:p w14:paraId="13EC00E8"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5FEB7CC7"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681EB67B"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7D4B84DD"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55351FF9"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72187FE0" w14:textId="24352F0A" w:rsidR="00035151"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Zamawiający wymaga, aby Wykonawca posiadał aktualne ubezpieczenie OC na kwotę co najmnie</w:t>
      </w:r>
      <w:r w:rsidRPr="007F0DFE">
        <w:rPr>
          <w:rFonts w:ascii="Times New Roman" w:hAnsi="Times New Roman" w:cs="Times New Roman"/>
          <w:sz w:val="24"/>
          <w:szCs w:val="20"/>
          <w:lang w:val="pl-PL"/>
        </w:rPr>
        <w:t xml:space="preserve">j </w:t>
      </w:r>
      <w:r w:rsidR="007F0DFE" w:rsidRPr="007F0DFE">
        <w:rPr>
          <w:rFonts w:ascii="Times New Roman" w:hAnsi="Times New Roman" w:cs="Times New Roman"/>
          <w:sz w:val="24"/>
          <w:szCs w:val="20"/>
          <w:lang w:val="pl-PL"/>
        </w:rPr>
        <w:t>1 000 000</w:t>
      </w:r>
      <w:r w:rsidRPr="007F0DFE">
        <w:rPr>
          <w:rFonts w:ascii="Times New Roman" w:hAnsi="Times New Roman" w:cs="Times New Roman"/>
          <w:sz w:val="24"/>
          <w:szCs w:val="20"/>
          <w:lang w:val="pl-PL"/>
        </w:rPr>
        <w:t xml:space="preserve">,00 zł w </w:t>
      </w:r>
      <w:r>
        <w:rPr>
          <w:rFonts w:ascii="Times New Roman" w:hAnsi="Times New Roman" w:cs="Times New Roman"/>
          <w:sz w:val="24"/>
          <w:szCs w:val="20"/>
          <w:lang w:val="pl-PL"/>
        </w:rPr>
        <w:t>związku z prowadzeniem działalności</w:t>
      </w:r>
      <w:r w:rsidR="00035151" w:rsidRPr="00171095">
        <w:rPr>
          <w:rFonts w:ascii="Times New Roman" w:hAnsi="Times New Roman" w:cs="Times New Roman"/>
          <w:sz w:val="24"/>
          <w:szCs w:val="20"/>
          <w:lang w:val="pl-PL"/>
        </w:rPr>
        <w:t>.</w:t>
      </w:r>
    </w:p>
    <w:p w14:paraId="5E44E4B8" w14:textId="77777777" w:rsidR="00C107D6" w:rsidRPr="00171095" w:rsidRDefault="00C107D6" w:rsidP="00C107D6">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lastRenderedPageBreak/>
        <w:t>4)</w:t>
      </w:r>
      <w:r w:rsidRPr="00171095">
        <w:rPr>
          <w:rFonts w:ascii="Times New Roman" w:hAnsi="Times New Roman" w:cs="Times New Roman"/>
          <w:b/>
          <w:sz w:val="24"/>
          <w:szCs w:val="20"/>
          <w:lang w:val="pl-PL"/>
        </w:rPr>
        <w:tab/>
        <w:t>zdolności technicznej lub zawodowej:</w:t>
      </w:r>
    </w:p>
    <w:p w14:paraId="5E1180DF" w14:textId="77777777" w:rsidR="00E047B2" w:rsidRPr="00E047B2" w:rsidRDefault="00E047B2" w:rsidP="00E047B2">
      <w:pPr>
        <w:pStyle w:val="Nagwek31"/>
        <w:keepNext/>
        <w:shd w:val="clear" w:color="auto" w:fill="auto"/>
        <w:spacing w:line="360" w:lineRule="auto"/>
        <w:ind w:left="852" w:right="20" w:firstLine="0"/>
        <w:jc w:val="left"/>
        <w:rPr>
          <w:rFonts w:ascii="Times New Roman" w:hAnsi="Times New Roman" w:cs="Times New Roman"/>
          <w:bCs/>
          <w:sz w:val="24"/>
          <w:szCs w:val="20"/>
          <w:lang w:val="pl-PL"/>
        </w:rPr>
      </w:pPr>
      <w:r w:rsidRPr="00E047B2">
        <w:rPr>
          <w:rFonts w:ascii="Times New Roman" w:hAnsi="Times New Roman" w:cs="Times New Roman"/>
          <w:bCs/>
          <w:sz w:val="24"/>
          <w:szCs w:val="20"/>
          <w:lang w:val="pl-PL"/>
        </w:rPr>
        <w:t>Wykonawca spełni warunek, jeżeli wykaże, że w okresie ostatnich 5 lat przed upływem terminu składania ofert, a jeżeli okres prowadzenia działalności jest krótszy - w tym okresie, wykonał należycie co najmniej:</w:t>
      </w:r>
    </w:p>
    <w:p w14:paraId="689047C6" w14:textId="77777777" w:rsidR="00EF2318" w:rsidRPr="00E047B2" w:rsidRDefault="00EF2318" w:rsidP="00EF2318">
      <w:pPr>
        <w:pStyle w:val="Nagwek31"/>
        <w:keepNext/>
        <w:numPr>
          <w:ilvl w:val="0"/>
          <w:numId w:val="30"/>
        </w:numPr>
        <w:shd w:val="clear" w:color="auto" w:fill="auto"/>
        <w:spacing w:line="360" w:lineRule="auto"/>
        <w:ind w:right="20"/>
        <w:jc w:val="left"/>
        <w:outlineLvl w:val="9"/>
        <w:rPr>
          <w:rFonts w:ascii="Times New Roman" w:hAnsi="Times New Roman" w:cs="Times New Roman"/>
          <w:bCs/>
          <w:sz w:val="24"/>
          <w:szCs w:val="20"/>
          <w:lang w:val="pl-PL"/>
        </w:rPr>
      </w:pPr>
      <w:r w:rsidRPr="00E047B2">
        <w:rPr>
          <w:rFonts w:ascii="Times New Roman" w:hAnsi="Times New Roman" w:cs="Times New Roman"/>
          <w:bCs/>
          <w:sz w:val="24"/>
          <w:szCs w:val="20"/>
          <w:lang w:val="pl-PL"/>
        </w:rPr>
        <w:t>1 świadczenie polegające na budowie, rozbudowie lub przebudowie obiektu budowlanego</w:t>
      </w:r>
      <w:r>
        <w:rPr>
          <w:rFonts w:ascii="Times New Roman" w:hAnsi="Times New Roman" w:cs="Times New Roman"/>
          <w:bCs/>
          <w:sz w:val="24"/>
          <w:szCs w:val="20"/>
          <w:lang w:val="pl-PL"/>
        </w:rPr>
        <w:t>, w tym wykonanie termomodernizacji obiektu (ocieplenie oraz wykonanie tynku jako warstwy ostatniej),</w:t>
      </w:r>
      <w:r w:rsidRPr="00E047B2">
        <w:rPr>
          <w:rFonts w:ascii="Times New Roman" w:hAnsi="Times New Roman" w:cs="Times New Roman"/>
          <w:bCs/>
          <w:sz w:val="24"/>
          <w:szCs w:val="20"/>
          <w:lang w:val="pl-PL"/>
        </w:rPr>
        <w:t xml:space="preserve"> przy realizacji inwestycji z udziałem powołanego przez podmiot zamawiający inspektora nadzoru inwestorskiego</w:t>
      </w:r>
      <w:r>
        <w:rPr>
          <w:rFonts w:ascii="Times New Roman" w:hAnsi="Times New Roman" w:cs="Times New Roman"/>
          <w:bCs/>
          <w:sz w:val="24"/>
          <w:szCs w:val="20"/>
          <w:lang w:val="pl-PL"/>
        </w:rPr>
        <w:t xml:space="preserve"> o wartości całego przedsięwzięcia co najmniej 1 500 000,00 zł brutto.</w:t>
      </w:r>
    </w:p>
    <w:p w14:paraId="021E66F4" w14:textId="546582F5" w:rsidR="00EF2318" w:rsidRPr="00E047B2" w:rsidRDefault="00EF2318" w:rsidP="00EF2318">
      <w:pPr>
        <w:pStyle w:val="Nagwek31"/>
        <w:keepNext/>
        <w:numPr>
          <w:ilvl w:val="0"/>
          <w:numId w:val="30"/>
        </w:numPr>
        <w:shd w:val="clear" w:color="auto" w:fill="auto"/>
        <w:spacing w:line="360" w:lineRule="auto"/>
        <w:ind w:right="20"/>
        <w:jc w:val="left"/>
        <w:outlineLvl w:val="9"/>
        <w:rPr>
          <w:rFonts w:ascii="Times New Roman" w:hAnsi="Times New Roman" w:cs="Times New Roman"/>
          <w:bCs/>
          <w:sz w:val="24"/>
          <w:szCs w:val="20"/>
          <w:lang w:val="pl-PL"/>
        </w:rPr>
      </w:pPr>
      <w:r w:rsidRPr="00E047B2">
        <w:rPr>
          <w:rFonts w:ascii="Times New Roman" w:hAnsi="Times New Roman" w:cs="Times New Roman"/>
          <w:bCs/>
          <w:sz w:val="24"/>
          <w:szCs w:val="20"/>
          <w:lang w:val="pl-PL"/>
        </w:rPr>
        <w:t>1 świadczenie polegające na budowie, rozbudowie lub przebudowie obiektu budowlanego</w:t>
      </w:r>
      <w:r>
        <w:rPr>
          <w:rFonts w:ascii="Times New Roman" w:hAnsi="Times New Roman" w:cs="Times New Roman"/>
          <w:bCs/>
          <w:sz w:val="24"/>
          <w:szCs w:val="20"/>
          <w:lang w:val="pl-PL"/>
        </w:rPr>
        <w:t>, w tym wykonanie utwardzenia z kostki betonowej lub brukowej kamiennej o powierzchni co najmniej 600 m</w:t>
      </w:r>
      <w:r w:rsidRPr="00EF2318">
        <w:rPr>
          <w:rFonts w:ascii="Times New Roman" w:hAnsi="Times New Roman" w:cs="Times New Roman"/>
          <w:bCs/>
          <w:sz w:val="24"/>
          <w:szCs w:val="20"/>
          <w:vertAlign w:val="superscript"/>
          <w:lang w:val="pl-PL"/>
        </w:rPr>
        <w:t>2</w:t>
      </w:r>
      <w:r>
        <w:rPr>
          <w:rFonts w:ascii="Times New Roman" w:hAnsi="Times New Roman" w:cs="Times New Roman"/>
          <w:bCs/>
          <w:sz w:val="24"/>
          <w:szCs w:val="20"/>
          <w:lang w:val="pl-PL"/>
        </w:rPr>
        <w:t>,</w:t>
      </w:r>
      <w:r w:rsidRPr="00E047B2">
        <w:rPr>
          <w:rFonts w:ascii="Times New Roman" w:hAnsi="Times New Roman" w:cs="Times New Roman"/>
          <w:bCs/>
          <w:sz w:val="24"/>
          <w:szCs w:val="20"/>
          <w:lang w:val="pl-PL"/>
        </w:rPr>
        <w:t xml:space="preserve"> przy realizacji inwestycji z udziałem powołanego przez podmiot zamawiający inspektora nadzoru inwestorskiego</w:t>
      </w:r>
      <w:r>
        <w:rPr>
          <w:rFonts w:ascii="Times New Roman" w:hAnsi="Times New Roman" w:cs="Times New Roman"/>
          <w:bCs/>
          <w:sz w:val="24"/>
          <w:szCs w:val="20"/>
          <w:lang w:val="pl-PL"/>
        </w:rPr>
        <w:t xml:space="preserve"> o wartości całego przedsięwzięcia co najmniej 500 000,00 zł brutto.</w:t>
      </w:r>
    </w:p>
    <w:p w14:paraId="5D66AA7F" w14:textId="77777777" w:rsidR="00331B3B" w:rsidRDefault="00171095" w:rsidP="00331B3B">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521C9509" w14:textId="212958F1" w:rsidR="00505F53" w:rsidRDefault="00171095" w:rsidP="00331B3B">
      <w:pPr>
        <w:pStyle w:val="pkt"/>
        <w:spacing w:before="0" w:after="0" w:line="360" w:lineRule="auto"/>
        <w:ind w:left="426" w:hanging="426"/>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 xml:space="preserve">że wykonawca nie posiada wymaganych zdolności, jeżeli posiadanie przez wykonawcę sprzecznych interesów, </w:t>
      </w:r>
      <w:r w:rsidR="00511434">
        <w:br/>
      </w:r>
      <w:r w:rsidR="00505F53" w:rsidRPr="00171095">
        <w:t xml:space="preserve">w szczególności zaangażowanie zasobów technicznych lub zawodowych wykonawcy </w:t>
      </w:r>
      <w:r w:rsidR="00511434">
        <w:br/>
      </w:r>
      <w:r w:rsidR="00505F53" w:rsidRPr="00171095">
        <w:t>w inne przedsięwzięcia gospodarcze wykonawcy może mieć negatywny wpływ na realizację zamówienia.</w:t>
      </w:r>
    </w:p>
    <w:p w14:paraId="2D8E65A5"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4ADE2995"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47EE0D46"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12800F99"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55E319E7"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 xml:space="preserve">w stosunku do którego otwarto likwidację, ogłoszono upadłość, którego aktywami zarządza likwidator lub sąd, zawarł układ z wierzycielami, którego działalność </w:t>
      </w:r>
      <w:r w:rsidR="00413BD0" w:rsidRPr="00171095">
        <w:rPr>
          <w:bCs/>
          <w:kern w:val="32"/>
        </w:rPr>
        <w:lastRenderedPageBreak/>
        <w:t>gospodarcza jest zawieszona albo znajduje się on w innej tego rodzaju sytuacji wynikającej z podobnej procedury przewidzianej w przepisach miejsca wszczęcia tej procedury;</w:t>
      </w:r>
    </w:p>
    <w:p w14:paraId="04658B0A"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93A31F" w14:textId="77777777" w:rsidR="00413BD0"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9BE907" w14:textId="7B3D0A1E" w:rsidR="009F7CCA" w:rsidRPr="00171095" w:rsidRDefault="009F7CCA" w:rsidP="00840B2F">
      <w:pPr>
        <w:pStyle w:val="pkt"/>
        <w:spacing w:line="360" w:lineRule="auto"/>
        <w:rPr>
          <w:bCs/>
          <w:kern w:val="32"/>
        </w:rPr>
      </w:pPr>
      <w:r w:rsidRPr="00840B2F">
        <w:rPr>
          <w:b/>
          <w:kern w:val="32"/>
        </w:rPr>
        <w:t>3)</w:t>
      </w:r>
      <w:r w:rsidR="00840B2F">
        <w:rPr>
          <w:b/>
          <w:kern w:val="32"/>
        </w:rPr>
        <w:tab/>
      </w:r>
      <w:r w:rsidR="00840B2F">
        <w:rPr>
          <w:b/>
          <w:kern w:val="32"/>
        </w:rPr>
        <w:tab/>
      </w:r>
      <w:r w:rsidR="00840B2F">
        <w:rPr>
          <w:bCs/>
          <w:kern w:val="32"/>
        </w:rPr>
        <w:t xml:space="preserve">art. 7 ustawy </w:t>
      </w:r>
      <w:r w:rsidR="00840B2F" w:rsidRPr="00840B2F">
        <w:rPr>
          <w:bCs/>
          <w:kern w:val="32"/>
        </w:rPr>
        <w:t>z dnia 13 kwietnia 2022 r.</w:t>
      </w:r>
      <w:r w:rsidR="00840B2F">
        <w:rPr>
          <w:bCs/>
          <w:kern w:val="32"/>
        </w:rPr>
        <w:t xml:space="preserve"> </w:t>
      </w:r>
      <w:r w:rsidR="00840B2F" w:rsidRPr="00840B2F">
        <w:rPr>
          <w:bCs/>
          <w:kern w:val="32"/>
        </w:rPr>
        <w:t>o szczególnych rozwiązaniach w zakresie przeciwdziałania wspieraniu agresji na Ukrainę oraz służących ochronie bezpieczeństwa narodowego</w:t>
      </w:r>
      <w:r w:rsidR="00840B2F">
        <w:rPr>
          <w:bCs/>
          <w:kern w:val="32"/>
        </w:rPr>
        <w:t>.</w:t>
      </w:r>
    </w:p>
    <w:p w14:paraId="28E5C7B6" w14:textId="77777777" w:rsidR="00E075A8" w:rsidRDefault="00171095" w:rsidP="00C33EE2">
      <w:pPr>
        <w:pStyle w:val="pkt"/>
        <w:spacing w:before="0" w:after="0" w:line="360" w:lineRule="auto"/>
        <w:ind w:left="426" w:hanging="426"/>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 xml:space="preserve">p.z.p. </w:t>
      </w:r>
    </w:p>
    <w:p w14:paraId="122B56BB" w14:textId="4567EB02" w:rsidR="003B377F" w:rsidRPr="00171095" w:rsidRDefault="00171095" w:rsidP="00AC7F2B">
      <w:pPr>
        <w:pStyle w:val="NagwekSWZ"/>
        <w:ind w:left="0" w:firstLine="0"/>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23AAED9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6F69B9C1" w14:textId="77777777" w:rsidR="00D02E57" w:rsidRPr="00171095" w:rsidRDefault="00171095" w:rsidP="0019688F">
      <w:pPr>
        <w:pStyle w:val="pkt"/>
        <w:spacing w:before="0" w:after="0" w:line="360" w:lineRule="auto"/>
        <w:ind w:left="426" w:hanging="426"/>
      </w:pPr>
      <w:r w:rsidRPr="00171095">
        <w:rPr>
          <w:rFonts w:eastAsia="Times New Roman"/>
          <w:b/>
        </w:rPr>
        <w:lastRenderedPageBreak/>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511434">
        <w:br/>
      </w:r>
      <w:r w:rsidR="00881CE8" w:rsidRPr="00171095">
        <w:t>w postępowaniu.</w:t>
      </w:r>
    </w:p>
    <w:p w14:paraId="460823A3"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414C0E3D"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1DCB14D3"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511434">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12EAB441"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5111CDAC" w14:textId="77777777"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ppkt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511434">
        <w:rPr>
          <w:szCs w:val="20"/>
        </w:rPr>
        <w:br/>
      </w:r>
      <w:r w:rsidR="000F4F5C" w:rsidRPr="00171095">
        <w:rPr>
          <w:szCs w:val="20"/>
        </w:rPr>
        <w:t xml:space="preserve">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330C11D5" w14:textId="77777777" w:rsidR="00E66C05" w:rsidRPr="00E66C05" w:rsidRDefault="00E66C05" w:rsidP="001353AD">
      <w:pPr>
        <w:spacing w:line="360" w:lineRule="auto"/>
        <w:ind w:left="852" w:hanging="426"/>
        <w:jc w:val="both"/>
        <w:rPr>
          <w:szCs w:val="20"/>
        </w:rPr>
      </w:pPr>
      <w:r>
        <w:rPr>
          <w:b/>
          <w:bCs/>
          <w:szCs w:val="20"/>
        </w:rPr>
        <w:lastRenderedPageBreak/>
        <w:t>4)</w:t>
      </w:r>
      <w:r>
        <w:rPr>
          <w:b/>
          <w:bCs/>
          <w:szCs w:val="20"/>
        </w:rPr>
        <w:tab/>
      </w:r>
      <w:r>
        <w:rPr>
          <w:bCs/>
          <w:szCs w:val="20"/>
        </w:rPr>
        <w:t>kopia ważnej polisy OC oraz potwierdzenie wpłaty</w:t>
      </w:r>
      <w:r w:rsidR="008B3AD8">
        <w:rPr>
          <w:bCs/>
          <w:szCs w:val="20"/>
        </w:rPr>
        <w:t xml:space="preserve"> na poczet tej ważnej polisy (zgodnie z Rozdziałem VIII pkt 2 ppkt 3 SWZ).</w:t>
      </w:r>
    </w:p>
    <w:p w14:paraId="7114E3C1"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497258FA"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2CC3E05"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0741F6F"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511434">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511434">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71E6A217"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37E5321C"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3BB7080A" w14:textId="5111D819" w:rsidR="00681D84" w:rsidRDefault="001B30F8" w:rsidP="000E5850">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p.z.p. </w:t>
      </w:r>
      <w:r w:rsidR="008561CD" w:rsidRPr="00171095">
        <w:t xml:space="preserve">lub niniejszą SWZ do oświadczeń </w:t>
      </w:r>
      <w:r w:rsidR="000803A9">
        <w:br/>
      </w:r>
      <w:r w:rsidR="008561CD" w:rsidRPr="00171095">
        <w:t>i dokumentów składanych przez Wykonawcę w postępowaniu zastosowanie mają</w:t>
      </w:r>
      <w:r w:rsidR="00DD50ED" w:rsidRPr="00171095">
        <w:t xml:space="preserve"> </w:t>
      </w:r>
      <w:r w:rsidR="00511434">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w:t>
      </w:r>
      <w:r w:rsidR="000803A9">
        <w:br/>
      </w:r>
      <w:r w:rsidR="00B96D9B" w:rsidRPr="00171095">
        <w:t xml:space="preserve">i przekazywania informacji oraz wymagań technicznych dla dokumentów elektronicznych </w:t>
      </w:r>
      <w:r w:rsidR="00B96D9B" w:rsidRPr="00171095">
        <w:lastRenderedPageBreak/>
        <w:t>oraz środków komunikacji elektronicznej w postępowaniu o udzielenie zamówienia publicznego lub konkursie.</w:t>
      </w:r>
    </w:p>
    <w:p w14:paraId="6B39AAB3" w14:textId="77777777" w:rsidR="00754599" w:rsidRDefault="00754599" w:rsidP="000E5850">
      <w:pPr>
        <w:pStyle w:val="pkt"/>
        <w:spacing w:before="0" w:after="0" w:line="360" w:lineRule="auto"/>
        <w:ind w:left="426" w:hanging="426"/>
      </w:pPr>
    </w:p>
    <w:p w14:paraId="5D01F87D"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2FA6AEC0"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 xml:space="preserve">Wykonawca może w celu potwierdzenia spełniania warunków udziału w </w:t>
      </w:r>
      <w:r w:rsidR="00511434">
        <w:t xml:space="preserve">postępowaniu </w:t>
      </w:r>
      <w:r w:rsidR="00B20F54" w:rsidRPr="00171095">
        <w:t>polegać na zdolnościach technicznych lub zawodowych podmiotów udostępniających zasoby, niezależnie od charakteru prawnego łączących go z nimi stosunków prawnych.</w:t>
      </w:r>
    </w:p>
    <w:p w14:paraId="288ABF56"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6DDB19EF"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97EE1E9"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AD5353"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511434">
        <w:br/>
      </w:r>
      <w:r w:rsidR="002272B0" w:rsidRPr="00171095">
        <w:t>w postępowaniu.</w:t>
      </w:r>
    </w:p>
    <w:p w14:paraId="0B629363"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511434">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w:t>
      </w:r>
      <w:r>
        <w:lastRenderedPageBreak/>
        <w:t>trzeci składa w takim razie załącznik nr 2 do SWZ zmodyfikowany odpowiednio, aby uczynić zadość wymaganiom postawionym w niniejszym Rozdziale.</w:t>
      </w:r>
    </w:p>
    <w:p w14:paraId="5FBCF695" w14:textId="77777777" w:rsidR="005919F8" w:rsidRPr="00171095" w:rsidRDefault="00171095" w:rsidP="00C4508B">
      <w:pPr>
        <w:pStyle w:val="NagwekSWZ"/>
      </w:pPr>
      <w:r w:rsidRPr="00171095">
        <w:t>XII.</w:t>
      </w:r>
      <w:r w:rsidRPr="00171095">
        <w:tab/>
      </w:r>
      <w:r w:rsidR="005919F8" w:rsidRPr="00171095">
        <w:t xml:space="preserve">INFORMACJA DLA WYKONAWCÓW WSPÓLNIE UBIEGAJĄCYCH SIĘ </w:t>
      </w:r>
      <w:r w:rsidR="00A334A2">
        <w:br/>
      </w:r>
      <w:r w:rsidR="005919F8" w:rsidRPr="00171095">
        <w:t>O UDZIELENIE ZAMÓWIENIA (SPÓŁKI CYWILNE/ KONSORCJA)</w:t>
      </w:r>
    </w:p>
    <w:p w14:paraId="6F4CA61E"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6A8DADA1"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84AE682"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79EE14" w14:textId="1211B98E"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2" w:name="bookmark11"/>
    </w:p>
    <w:p w14:paraId="41E6B309" w14:textId="77777777" w:rsidR="00E53721" w:rsidRDefault="00E53721" w:rsidP="0019688F">
      <w:pPr>
        <w:pStyle w:val="pkt"/>
        <w:spacing w:before="0" w:after="0" w:line="360" w:lineRule="auto"/>
        <w:ind w:left="426" w:hanging="426"/>
      </w:pPr>
    </w:p>
    <w:p w14:paraId="7CAF61D5"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2"/>
      <w:r w:rsidR="00D16134" w:rsidRPr="00171095">
        <w:t>WYJAŚNIENIA TREŚCI SWZ</w:t>
      </w:r>
    </w:p>
    <w:p w14:paraId="6F493025"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A334A2">
        <w:rPr>
          <w:bCs/>
        </w:rPr>
        <w:br/>
      </w:r>
      <w:r w:rsidR="001560B9" w:rsidRPr="00171095">
        <w:rPr>
          <w:bCs/>
        </w:rPr>
        <w:t xml:space="preserve">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A334A2">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14:paraId="65C900BD"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A334A2">
        <w:rPr>
          <w:bCs/>
        </w:rPr>
        <w:br/>
      </w:r>
      <w:r w:rsidR="00F32503" w:rsidRPr="00171095">
        <w:rPr>
          <w:bCs/>
        </w:rPr>
        <w:lastRenderedPageBreak/>
        <w:t xml:space="preserve">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6B2E31E4"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663CF2DC" w14:textId="12B427FB"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2" w:history="1">
        <w:r w:rsidR="00840B2F" w:rsidRPr="00222B08">
          <w:rPr>
            <w:rStyle w:val="Hipercze"/>
            <w:szCs w:val="20"/>
          </w:rPr>
          <w:t>konrad.gruza@wiskitki.pl</w:t>
        </w:r>
      </w:hyperlink>
      <w:r w:rsidR="00254DD8">
        <w:rPr>
          <w:szCs w:val="20"/>
        </w:rPr>
        <w:t xml:space="preserve"> </w:t>
      </w:r>
      <w:r w:rsidR="00D16134" w:rsidRPr="00171095">
        <w:rPr>
          <w:szCs w:val="20"/>
        </w:rPr>
        <w:t>;</w:t>
      </w:r>
    </w:p>
    <w:p w14:paraId="4B3DC5A7"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3" w:history="1">
        <w:r w:rsidR="00254DD8" w:rsidRPr="006A5DA8">
          <w:rPr>
            <w:rStyle w:val="Hipercze"/>
            <w:szCs w:val="20"/>
          </w:rPr>
          <w:t>https://platformazakupowa.pl/pn/wiskitki</w:t>
        </w:r>
      </w:hyperlink>
      <w:r w:rsidR="00254DD8">
        <w:rPr>
          <w:szCs w:val="20"/>
        </w:rPr>
        <w:t xml:space="preserve"> </w:t>
      </w:r>
    </w:p>
    <w:p w14:paraId="1BD46871" w14:textId="3D4831F1"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w:t>
      </w:r>
      <w:r w:rsidR="00754599">
        <w:rPr>
          <w:rFonts w:eastAsia="Times New Roman"/>
          <w:szCs w:val="19"/>
        </w:rPr>
        <w:br/>
      </w:r>
      <w:r w:rsidRPr="0074518B">
        <w:rPr>
          <w:rFonts w:eastAsia="Times New Roman"/>
          <w:szCs w:val="19"/>
        </w:rPr>
        <w:t xml:space="preserve">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3EB7898C"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2224992D"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71151A9A"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51AA7C2E"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46AE2D4"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638CAAFE"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 obsługujący format plików .pdf,</w:t>
      </w:r>
    </w:p>
    <w:p w14:paraId="2688B328"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654DDA0C"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76B2FA5D"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A334A2">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4B3BB33A"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w:t>
      </w:r>
      <w:r w:rsidR="00A334A2">
        <w:rPr>
          <w:rFonts w:eastAsia="Times New Roman"/>
          <w:szCs w:val="19"/>
        </w:rPr>
        <w:br/>
      </w:r>
      <w:r w:rsidRPr="0074518B">
        <w:rPr>
          <w:rFonts w:eastAsia="Times New Roman"/>
          <w:szCs w:val="19"/>
        </w:rPr>
        <w:t xml:space="preserve">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334A2">
        <w:rPr>
          <w:rFonts w:eastAsia="Times New Roman"/>
          <w:szCs w:val="19"/>
        </w:rPr>
        <w:br/>
      </w:r>
      <w:r w:rsidRPr="0074518B">
        <w:rPr>
          <w:rFonts w:eastAsia="Times New Roman"/>
          <w:szCs w:val="19"/>
        </w:rPr>
        <w:t xml:space="preserve">w przedmiotowym postępowaniu ponieważ nie został spełniony obowiązek narzucony </w:t>
      </w:r>
      <w:r w:rsidR="00A334A2">
        <w:rPr>
          <w:rFonts w:eastAsia="Times New Roman"/>
          <w:szCs w:val="19"/>
        </w:rPr>
        <w:br/>
      </w:r>
      <w:r w:rsidRPr="0074518B">
        <w:rPr>
          <w:rFonts w:eastAsia="Times New Roman"/>
          <w:szCs w:val="19"/>
        </w:rPr>
        <w:t>w art. 221 Ustawy Prawo Zamówień Publicznych.</w:t>
      </w:r>
    </w:p>
    <w:p w14:paraId="4C579235"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A334A2">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74518B">
          <w:rPr>
            <w:rStyle w:val="Hipercze"/>
            <w:rFonts w:eastAsia="Times New Roman"/>
            <w:szCs w:val="19"/>
          </w:rPr>
          <w:t>https://platformazakupowa.pl/strona/45-instrukcje</w:t>
        </w:r>
      </w:hyperlink>
    </w:p>
    <w:p w14:paraId="5690E8CC"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103FC962"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A1D5DF5" w14:textId="1ACAAF01" w:rsidR="006F1582" w:rsidRPr="00171095" w:rsidRDefault="00EE348F" w:rsidP="00171095">
      <w:pPr>
        <w:pStyle w:val="Akapitzlist"/>
        <w:spacing w:line="360" w:lineRule="auto"/>
        <w:ind w:left="709" w:right="92"/>
        <w:jc w:val="both"/>
        <w:rPr>
          <w:szCs w:val="20"/>
        </w:rPr>
      </w:pPr>
      <w:r>
        <w:rPr>
          <w:szCs w:val="20"/>
        </w:rPr>
        <w:t>Agnieszka Żeromska-Gawronek</w:t>
      </w:r>
      <w:r w:rsidR="004B5982" w:rsidRPr="00171095">
        <w:rPr>
          <w:szCs w:val="20"/>
        </w:rPr>
        <w:t xml:space="preserve">, tel. </w:t>
      </w:r>
      <w:r w:rsidR="0074518B">
        <w:rPr>
          <w:szCs w:val="20"/>
        </w:rPr>
        <w:t>46 854 50 37</w:t>
      </w:r>
      <w:r w:rsidR="004B5982" w:rsidRPr="00171095">
        <w:rPr>
          <w:szCs w:val="20"/>
        </w:rPr>
        <w:t>;</w:t>
      </w:r>
    </w:p>
    <w:p w14:paraId="53AA8A65"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04419F99" w14:textId="77777777" w:rsidR="00840B2F" w:rsidRPr="00171095" w:rsidRDefault="00840B2F" w:rsidP="00840B2F">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Pr="00171095">
        <w:rPr>
          <w:szCs w:val="20"/>
        </w:rPr>
        <w:t>;</w:t>
      </w:r>
    </w:p>
    <w:p w14:paraId="724506EE" w14:textId="559C7965" w:rsidR="00FB1D23" w:rsidRPr="00171095" w:rsidRDefault="00FB1D23" w:rsidP="00FB1D23">
      <w:pPr>
        <w:pStyle w:val="Akapitzlist"/>
        <w:spacing w:line="360" w:lineRule="auto"/>
        <w:ind w:left="709" w:right="92"/>
        <w:jc w:val="both"/>
        <w:rPr>
          <w:szCs w:val="20"/>
        </w:rPr>
      </w:pPr>
      <w:r>
        <w:rPr>
          <w:szCs w:val="20"/>
        </w:rPr>
        <w:t>Agnieszka Żeromska-Gawronek</w:t>
      </w:r>
      <w:r w:rsidRPr="00171095">
        <w:rPr>
          <w:szCs w:val="20"/>
        </w:rPr>
        <w:t xml:space="preserve">, tel. </w:t>
      </w:r>
      <w:r>
        <w:rPr>
          <w:szCs w:val="20"/>
        </w:rPr>
        <w:t>46 854 50 37</w:t>
      </w:r>
      <w:r w:rsidRPr="00171095">
        <w:rPr>
          <w:szCs w:val="20"/>
        </w:rPr>
        <w:t>;</w:t>
      </w:r>
    </w:p>
    <w:p w14:paraId="2D50787D"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032B2A1B"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29FB075B"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1E55F4B8"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lastRenderedPageBreak/>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629A0C56" w14:textId="42F568A8" w:rsidR="00371F60"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4AD822BF" w14:textId="6CA86904" w:rsidR="0034764B" w:rsidRPr="00171095" w:rsidRDefault="00171095" w:rsidP="00C4508B">
      <w:pPr>
        <w:pStyle w:val="NagwekSWZ"/>
      </w:pPr>
      <w:bookmarkStart w:id="3" w:name="bookmark12"/>
      <w:r w:rsidRPr="00171095">
        <w:t>XIV.</w:t>
      </w:r>
      <w:r w:rsidRPr="00171095">
        <w:tab/>
      </w:r>
      <w:r w:rsidR="0034764B" w:rsidRPr="00171095">
        <w:t>OPIS SPOSOBU PRZYGOTOWANIA OFER</w:t>
      </w:r>
      <w:bookmarkEnd w:id="3"/>
      <w:r w:rsidR="00641EB7" w:rsidRPr="00171095">
        <w:t>T ORAZ WYMAGANIA FORMALNE DOTYCZĄCE SKŁADANYCH OŚWIADCZEŃ I DOKUMENTÓW</w:t>
      </w:r>
    </w:p>
    <w:p w14:paraId="60B9DB9E"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552B1B42"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1C18B2A"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904C272"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36A45061"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58AC5F38"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67CDDA35"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5F390E8D"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2AF01542"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576C5D3E"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7341EC50"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43139C45" w14:textId="1105F64E"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EE348F" w:rsidRPr="00EE348F">
        <w:rPr>
          <w:rFonts w:eastAsia="Times New Roman"/>
        </w:rPr>
        <w:t>Dz.U.2022</w:t>
      </w:r>
      <w:r w:rsidR="00EE348F">
        <w:rPr>
          <w:rFonts w:eastAsia="Times New Roman"/>
        </w:rPr>
        <w:t xml:space="preserve"> poz. </w:t>
      </w:r>
      <w:r w:rsidR="00EE348F" w:rsidRPr="00EE348F">
        <w:rPr>
          <w:rFonts w:eastAsia="Times New Roman"/>
        </w:rPr>
        <w:t>1233</w:t>
      </w:r>
      <w:r w:rsidR="00EE348F">
        <w:rPr>
          <w:rFonts w:eastAsia="Times New Roman"/>
        </w:rPr>
        <w:t>)</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625EC96C"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69622393" w14:textId="6008FA1A"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w:t>
      </w:r>
      <w:r w:rsidR="00EE348F">
        <w:rPr>
          <w:rFonts w:eastAsia="Times New Roman"/>
          <w:b/>
        </w:rPr>
        <w:t>0</w:t>
      </w:r>
      <w:r w:rsidRPr="00171095">
        <w:rPr>
          <w:rFonts w:eastAsia="Times New Roman"/>
          <w:b/>
        </w:rPr>
        <w:t>.</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96025F">
        <w:rPr>
          <w:rFonts w:eastAsia="Times New Roman"/>
        </w:rPr>
        <w:br/>
      </w:r>
      <w:r w:rsidR="00A16ADB" w:rsidRPr="00171095">
        <w:rPr>
          <w:rFonts w:eastAsia="Times New Roman"/>
        </w:rPr>
        <w:t>z tłumaczeniem na język polski.</w:t>
      </w:r>
    </w:p>
    <w:p w14:paraId="74FBBB74" w14:textId="7F35D4DD"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w:t>
      </w:r>
      <w:r w:rsidR="00EE348F">
        <w:rPr>
          <w:rFonts w:eastAsia="Times New Roman"/>
          <w:b/>
        </w:rPr>
        <w:t>1</w:t>
      </w:r>
      <w:r w:rsidRPr="00171095">
        <w:rPr>
          <w:rFonts w:eastAsia="Times New Roman"/>
          <w:b/>
        </w:rPr>
        <w:t>.</w:t>
      </w:r>
      <w:r w:rsidRPr="00171095">
        <w:rPr>
          <w:rFonts w:eastAsia="Times New Roman"/>
          <w:b/>
        </w:rPr>
        <w:tab/>
      </w:r>
      <w:r w:rsidR="00BA2DE7" w:rsidRPr="00171095">
        <w:rPr>
          <w:rFonts w:eastAsia="Times New Roman"/>
        </w:rPr>
        <w:t xml:space="preserve">Wszystkie koszty związane z uczestnictwem w postępowaniu, w szczególności </w:t>
      </w:r>
      <w:r w:rsidR="0096025F">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78535769"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304D442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1F3CE430"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7E0AD29C"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i wyczerpującą wszelkie należności Wykonawcy wobec Zamawiającego związane </w:t>
      </w:r>
      <w:r w:rsidR="0096025F">
        <w:br/>
      </w:r>
      <w:r w:rsidR="00CC38C5" w:rsidRPr="00171095">
        <w:t>z realizacją przedmiotu zamówienia.</w:t>
      </w:r>
    </w:p>
    <w:p w14:paraId="003EAE53"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7FB25F2B"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78F9FD97"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29827395" w14:textId="2889D75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1C743E" w:rsidRPr="001C743E">
        <w:t>Dz.U.2023</w:t>
      </w:r>
      <w:r w:rsidR="001C743E">
        <w:t xml:space="preserve"> poz. </w:t>
      </w:r>
      <w:r w:rsidR="001C743E" w:rsidRPr="001C743E">
        <w:t>1570</w:t>
      </w:r>
      <w:r w:rsidR="00166665" w:rsidRPr="00171095">
        <w:t xml:space="preserve">), dla celów zastosowania kryterium ceny lub kosztu </w:t>
      </w:r>
      <w:r w:rsidR="00166665" w:rsidRPr="00171095">
        <w:lastRenderedPageBreak/>
        <w:t xml:space="preserve">zamawiający dolicza do przedstawionej w tej ofercie ceny kwotę podatku od towarów </w:t>
      </w:r>
      <w:r w:rsidR="001C743E">
        <w:br/>
      </w:r>
      <w:r w:rsidR="00166665" w:rsidRPr="00171095">
        <w:t>i usług, którą miałby obowiązek rozliczyć.</w:t>
      </w:r>
      <w:r w:rsidR="0093122A" w:rsidRPr="00171095">
        <w:rPr>
          <w:b/>
        </w:rPr>
        <w:t xml:space="preserve"> </w:t>
      </w:r>
      <w:r w:rsidR="00166665" w:rsidRPr="00171095">
        <w:t>W ofercie, o której mowa w ust. 1, wykonawca ma obowiązek:</w:t>
      </w:r>
    </w:p>
    <w:p w14:paraId="0C98D9FF"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5EEFCE52"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30CB12F5"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79A2FB72"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7C953853" w14:textId="761E01AC"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39EC85C" w14:textId="77777777" w:rsidR="00552FBA" w:rsidRPr="00171095" w:rsidRDefault="00171095" w:rsidP="00C4508B">
      <w:pPr>
        <w:pStyle w:val="NagwekSWZ"/>
      </w:pPr>
      <w:r w:rsidRPr="00171095">
        <w:t>XVI.</w:t>
      </w:r>
      <w:r w:rsidRPr="00171095">
        <w:tab/>
      </w:r>
      <w:r w:rsidR="00C80F47" w:rsidRPr="00171095">
        <w:t>WYMAGANIA DOTYCZĄCE WADIUM</w:t>
      </w:r>
    </w:p>
    <w:p w14:paraId="7D791CCD" w14:textId="4D63EAEC"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FB1D23">
        <w:t>5</w:t>
      </w:r>
      <w:r w:rsidR="00976AD0">
        <w:t> </w:t>
      </w:r>
      <w:r w:rsidR="00710183">
        <w:t>0</w:t>
      </w:r>
      <w:r w:rsidR="00976AD0">
        <w:t>00,00</w:t>
      </w:r>
      <w:r w:rsidR="00DF7F86">
        <w:t xml:space="preserve"> zł</w:t>
      </w:r>
      <w:r w:rsidR="006204E8" w:rsidRPr="00171095">
        <w:t xml:space="preserve"> </w:t>
      </w:r>
      <w:r w:rsidR="003E42FE" w:rsidRPr="00171095">
        <w:t xml:space="preserve">(słownie: </w:t>
      </w:r>
      <w:r w:rsidR="00FB1D23">
        <w:t>pięć</w:t>
      </w:r>
      <w:r w:rsidR="00710183">
        <w:t xml:space="preserve"> tysięcy</w:t>
      </w:r>
      <w:r w:rsidR="00976AD0">
        <w:t xml:space="preserve"> złotych</w:t>
      </w:r>
      <w:r w:rsidR="00DF7F86">
        <w:t>,</w:t>
      </w:r>
      <w:r w:rsidR="006204E8" w:rsidRPr="00171095">
        <w:t xml:space="preserve"> </w:t>
      </w:r>
      <w:r w:rsidR="004E392C" w:rsidRPr="00171095">
        <w:t>00/100 złotych);</w:t>
      </w:r>
    </w:p>
    <w:p w14:paraId="2A52EB32"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4A15A76B"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3BC48DEF"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7E85F066"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73646C71"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6EA120C3" w14:textId="088DCFC1"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w:t>
      </w:r>
      <w:r w:rsidR="001C743E" w:rsidRPr="001C743E">
        <w:rPr>
          <w:szCs w:val="20"/>
        </w:rPr>
        <w:t>Dz.U.2023</w:t>
      </w:r>
      <w:r w:rsidR="001C743E">
        <w:rPr>
          <w:szCs w:val="20"/>
        </w:rPr>
        <w:t xml:space="preserve"> poz. </w:t>
      </w:r>
      <w:r w:rsidR="001C743E" w:rsidRPr="001C743E">
        <w:rPr>
          <w:szCs w:val="20"/>
        </w:rPr>
        <w:t>462</w:t>
      </w:r>
      <w:r w:rsidR="00552FBA" w:rsidRPr="00171095">
        <w:rPr>
          <w:szCs w:val="20"/>
        </w:rPr>
        <w:t>).</w:t>
      </w:r>
    </w:p>
    <w:p w14:paraId="3672C077"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96025F">
        <w:br/>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96025F">
        <w:br/>
      </w:r>
      <w:r w:rsidR="00D32541" w:rsidRPr="00171095">
        <w:rPr>
          <w:i/>
        </w:rPr>
        <w:t>nr postępowania</w:t>
      </w:r>
      <w:r w:rsidRPr="00171095">
        <w:t>"</w:t>
      </w:r>
      <w:r w:rsidR="00543FAE" w:rsidRPr="00171095">
        <w:t>.</w:t>
      </w:r>
    </w:p>
    <w:p w14:paraId="6B4E7729"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3C3E493F" w14:textId="77777777" w:rsidR="00543FAE" w:rsidRPr="00171095" w:rsidRDefault="00171095" w:rsidP="0019688F">
      <w:pPr>
        <w:pStyle w:val="pkt"/>
        <w:spacing w:before="0" w:after="0" w:line="360" w:lineRule="auto"/>
        <w:ind w:left="426" w:hanging="426"/>
      </w:pPr>
      <w:r w:rsidRPr="00171095">
        <w:rPr>
          <w:b/>
          <w:bCs/>
        </w:rPr>
        <w:lastRenderedPageBreak/>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3C8CB859"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7D890C97"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0DB4EA08"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7082DB0B"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671A204B"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96025F">
        <w:rPr>
          <w:szCs w:val="20"/>
        </w:rPr>
        <w:br/>
      </w:r>
      <w:r>
        <w:rPr>
          <w:szCs w:val="20"/>
        </w:rPr>
        <w:t>w Wiskitkach, przy ul. Kościuszki 1, 96-315 Wiskitki;</w:t>
      </w:r>
      <w:r w:rsidR="006204E8" w:rsidRPr="00171095">
        <w:rPr>
          <w:szCs w:val="20"/>
        </w:rPr>
        <w:t xml:space="preserve"> </w:t>
      </w:r>
    </w:p>
    <w:p w14:paraId="7055BB47"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r w:rsidR="003655FE" w:rsidRPr="00171095">
        <w:rPr>
          <w:szCs w:val="20"/>
        </w:rPr>
        <w:t>p.z.p.</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96025F">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14:paraId="23FE916D"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r w:rsidR="003655FE" w:rsidRPr="00171095">
        <w:t xml:space="preserve">p.z.p. </w:t>
      </w:r>
      <w:r w:rsidR="00552FBA" w:rsidRPr="00171095">
        <w:t>zostanie odrzucona.</w:t>
      </w:r>
    </w:p>
    <w:p w14:paraId="781DB52C"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art. 98 p.z.p.</w:t>
      </w:r>
    </w:p>
    <w:p w14:paraId="26BC4A21" w14:textId="77777777" w:rsidR="00552FBA" w:rsidRPr="00171095" w:rsidRDefault="00171095" w:rsidP="00C4508B">
      <w:pPr>
        <w:pStyle w:val="NagwekSWZ"/>
      </w:pPr>
      <w:r w:rsidRPr="00171095">
        <w:t>XVII.</w:t>
      </w:r>
      <w:r w:rsidRPr="00171095">
        <w:tab/>
      </w:r>
      <w:r w:rsidR="005B5095" w:rsidRPr="00171095">
        <w:t>TERMIN ZWIĄZANIA OFERTĄ</w:t>
      </w:r>
    </w:p>
    <w:p w14:paraId="20749242" w14:textId="2D5C2509"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DD74BB">
        <w:rPr>
          <w:b/>
        </w:rPr>
        <w:t>3</w:t>
      </w:r>
      <w:r w:rsidR="006611FC" w:rsidRPr="00DD74BB">
        <w:rPr>
          <w:b/>
        </w:rPr>
        <w:t>0</w:t>
      </w:r>
      <w:r w:rsidR="00552FBA" w:rsidRPr="00DD74BB">
        <w:rPr>
          <w:b/>
        </w:rPr>
        <w:t xml:space="preserve"> dni</w:t>
      </w:r>
      <w:r w:rsidR="006204E8" w:rsidRPr="00DD74BB">
        <w:t xml:space="preserve">, tj. do dnia </w:t>
      </w:r>
      <w:r w:rsidR="009B0176">
        <w:t>20</w:t>
      </w:r>
      <w:r w:rsidR="00840B2F">
        <w:t xml:space="preserve"> </w:t>
      </w:r>
      <w:r w:rsidR="000A2B80">
        <w:t>kwietnia</w:t>
      </w:r>
      <w:r w:rsidR="006872D9" w:rsidRPr="00DD74BB">
        <w:t xml:space="preserve"> </w:t>
      </w:r>
      <w:r w:rsidR="00C72867" w:rsidRPr="00DD74BB">
        <w:t>202</w:t>
      </w:r>
      <w:r w:rsidR="000A2B80">
        <w:t>4</w:t>
      </w:r>
      <w:r w:rsidR="006204E8" w:rsidRPr="00AB5C3E">
        <w:t xml:space="preserve"> </w:t>
      </w:r>
      <w:r w:rsidR="006204E8" w:rsidRPr="00171095">
        <w:t>r.</w:t>
      </w:r>
      <w:r w:rsidR="00552FBA" w:rsidRPr="00171095">
        <w:t xml:space="preserve"> Bieg terminu związania ofertą rozpoczyna się wraz z up</w:t>
      </w:r>
      <w:r w:rsidR="00AF7093" w:rsidRPr="00171095">
        <w:t>ływem terminu składania ofert.</w:t>
      </w:r>
    </w:p>
    <w:p w14:paraId="331B9F48" w14:textId="3539BC5D"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w:t>
      </w:r>
      <w:r w:rsidR="00DB7C3E">
        <w:t xml:space="preserve"> </w:t>
      </w:r>
      <w:r w:rsidR="006204E8" w:rsidRPr="00171095">
        <w:t xml:space="preserve">terminu </w:t>
      </w:r>
      <w:r w:rsidR="006204E8" w:rsidRPr="00171095">
        <w:lastRenderedPageBreak/>
        <w:t xml:space="preserve">związania ofertą wymaga złożenia przez wykonawcę pisemnego oświadczenia </w:t>
      </w:r>
      <w:r w:rsidR="0071751C">
        <w:br/>
      </w:r>
      <w:r w:rsidR="006204E8" w:rsidRPr="00171095">
        <w:t>o wyrażeniu zgody na przedłużenie terminu związania ofertą.</w:t>
      </w:r>
    </w:p>
    <w:p w14:paraId="45BA5490" w14:textId="10072ABA"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184AF620"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0ED0ECFD" w14:textId="58FF8214" w:rsidR="00B5063F" w:rsidRPr="00DD74BB"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w:t>
      </w:r>
      <w:r w:rsidR="00B5063F" w:rsidRPr="00DD74BB">
        <w:t xml:space="preserve">Platformę </w:t>
      </w:r>
      <w:r w:rsidR="00B5063F" w:rsidRPr="00DD74BB">
        <w:rPr>
          <w:b/>
        </w:rPr>
        <w:t xml:space="preserve">do dnia </w:t>
      </w:r>
      <w:r w:rsidR="001C743E">
        <w:rPr>
          <w:b/>
        </w:rPr>
        <w:t>2</w:t>
      </w:r>
      <w:r w:rsidR="009B0176">
        <w:rPr>
          <w:b/>
        </w:rPr>
        <w:t>2</w:t>
      </w:r>
      <w:r w:rsidR="00840B2F">
        <w:rPr>
          <w:b/>
        </w:rPr>
        <w:t xml:space="preserve"> </w:t>
      </w:r>
      <w:r w:rsidR="001C743E">
        <w:rPr>
          <w:b/>
        </w:rPr>
        <w:t>marca</w:t>
      </w:r>
      <w:r w:rsidR="00BA5CDB" w:rsidRPr="00DD74BB">
        <w:rPr>
          <w:b/>
        </w:rPr>
        <w:t xml:space="preserve"> </w:t>
      </w:r>
      <w:r w:rsidR="00C72867" w:rsidRPr="00DD74BB">
        <w:rPr>
          <w:b/>
        </w:rPr>
        <w:t>202</w:t>
      </w:r>
      <w:r w:rsidR="001C743E">
        <w:rPr>
          <w:b/>
        </w:rPr>
        <w:t>4</w:t>
      </w:r>
      <w:r w:rsidR="00B5063F" w:rsidRPr="00DD74BB">
        <w:rPr>
          <w:b/>
        </w:rPr>
        <w:t xml:space="preserve"> r. do godziny </w:t>
      </w:r>
      <w:r w:rsidR="00DF7F86" w:rsidRPr="00DD74BB">
        <w:rPr>
          <w:b/>
        </w:rPr>
        <w:t>10</w:t>
      </w:r>
      <w:r w:rsidR="00B5063F" w:rsidRPr="00DD74BB">
        <w:rPr>
          <w:b/>
        </w:rPr>
        <w:t>:00</w:t>
      </w:r>
      <w:r w:rsidR="00B5063F" w:rsidRPr="00DD74BB">
        <w:t>.</w:t>
      </w:r>
    </w:p>
    <w:p w14:paraId="002064B4" w14:textId="77777777" w:rsidR="00115F5C" w:rsidRPr="00DD74BB" w:rsidRDefault="00171095" w:rsidP="0019688F">
      <w:pPr>
        <w:pStyle w:val="pkt"/>
        <w:spacing w:before="0" w:after="0" w:line="360" w:lineRule="auto"/>
        <w:ind w:left="426" w:hanging="426"/>
        <w:rPr>
          <w:b/>
        </w:rPr>
      </w:pPr>
      <w:r w:rsidRPr="00DD74BB">
        <w:rPr>
          <w:b/>
        </w:rPr>
        <w:t>2.</w:t>
      </w:r>
      <w:r w:rsidRPr="00DD74BB">
        <w:rPr>
          <w:b/>
        </w:rPr>
        <w:tab/>
      </w:r>
      <w:r w:rsidR="00B5063F" w:rsidRPr="00DD74BB">
        <w:t>O terminie złożenia oferty decyduje czas pełnego przeprocesowania transakcji na Platformie.</w:t>
      </w:r>
    </w:p>
    <w:p w14:paraId="75C4091B" w14:textId="4F362B33" w:rsidR="00BA05B7" w:rsidRPr="00171095" w:rsidRDefault="00171095" w:rsidP="0019688F">
      <w:pPr>
        <w:pStyle w:val="pkt"/>
        <w:spacing w:before="0" w:after="0" w:line="360" w:lineRule="auto"/>
        <w:ind w:left="426" w:hanging="426"/>
        <w:rPr>
          <w:b/>
        </w:rPr>
      </w:pPr>
      <w:r w:rsidRPr="00DD74BB">
        <w:rPr>
          <w:b/>
        </w:rPr>
        <w:t>3.</w:t>
      </w:r>
      <w:r w:rsidRPr="00DD74BB">
        <w:rPr>
          <w:b/>
        </w:rPr>
        <w:tab/>
      </w:r>
      <w:r w:rsidR="00115F5C" w:rsidRPr="00DD74BB">
        <w:t>Otwarcie ofert nast</w:t>
      </w:r>
      <w:r w:rsidR="00DF7F86" w:rsidRPr="00DD74BB">
        <w:t>ąpi</w:t>
      </w:r>
      <w:r w:rsidR="00115F5C" w:rsidRPr="00DD74BB">
        <w:t xml:space="preserve"> w dniu </w:t>
      </w:r>
      <w:r w:rsidR="001C743E">
        <w:rPr>
          <w:b/>
        </w:rPr>
        <w:t>2</w:t>
      </w:r>
      <w:r w:rsidR="009B0176">
        <w:rPr>
          <w:b/>
        </w:rPr>
        <w:t>2</w:t>
      </w:r>
      <w:r w:rsidR="00840B2F">
        <w:rPr>
          <w:b/>
        </w:rPr>
        <w:t xml:space="preserve"> </w:t>
      </w:r>
      <w:r w:rsidR="001C743E">
        <w:rPr>
          <w:b/>
        </w:rPr>
        <w:t>marca</w:t>
      </w:r>
      <w:r w:rsidR="00BA5CDB" w:rsidRPr="00DD74BB">
        <w:rPr>
          <w:b/>
        </w:rPr>
        <w:t xml:space="preserve"> </w:t>
      </w:r>
      <w:r w:rsidR="00C72867" w:rsidRPr="00DD74BB">
        <w:rPr>
          <w:b/>
        </w:rPr>
        <w:t>202</w:t>
      </w:r>
      <w:r w:rsidR="001C743E">
        <w:rPr>
          <w:b/>
        </w:rPr>
        <w:t>4</w:t>
      </w:r>
      <w:r w:rsidR="00C72867" w:rsidRPr="00DD74BB">
        <w:rPr>
          <w:b/>
        </w:rPr>
        <w:t xml:space="preserve"> </w:t>
      </w:r>
      <w:r w:rsidR="00115F5C" w:rsidRPr="00DD74BB">
        <w:rPr>
          <w:b/>
        </w:rPr>
        <w:t xml:space="preserve">r. o godzinie </w:t>
      </w:r>
      <w:r w:rsidR="00DF7F86" w:rsidRPr="00DD74BB">
        <w:rPr>
          <w:b/>
        </w:rPr>
        <w:t>10</w:t>
      </w:r>
      <w:r w:rsidR="00115F5C" w:rsidRPr="00DD74BB">
        <w:rPr>
          <w:b/>
        </w:rPr>
        <w:t>:30</w:t>
      </w:r>
      <w:r w:rsidR="002A1AE6" w:rsidRPr="00DD74BB">
        <w:t>.</w:t>
      </w:r>
    </w:p>
    <w:p w14:paraId="7C9E4818"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5F40AF89"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4F9B0D7C"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0A612B69"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4CCB1B0F"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26D9E5F8" w14:textId="77777777"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14:paraId="10581491"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1E19BE5E"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5CA8DEC2"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5576A4AC"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43983F6A"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42C592AF"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309920DC"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7D8E773A" w14:textId="77777777" w:rsidR="00972413" w:rsidRPr="00171095" w:rsidRDefault="00972413" w:rsidP="008C69C2">
      <w:pPr>
        <w:spacing w:before="240" w:after="240" w:line="360" w:lineRule="auto"/>
        <w:ind w:left="372" w:firstLine="708"/>
        <w:jc w:val="both"/>
        <w:rPr>
          <w:b/>
          <w:szCs w:val="20"/>
        </w:rPr>
      </w:pPr>
      <w:r w:rsidRPr="00171095">
        <w:rPr>
          <w:b/>
          <w:szCs w:val="20"/>
        </w:rPr>
        <w:lastRenderedPageBreak/>
        <w:t>* spośród wszystkich złożonych ofert niepodlegających odrzuceniu</w:t>
      </w:r>
    </w:p>
    <w:p w14:paraId="5D80EE12"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363A0813"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6B548B14" w14:textId="77777777"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256877BA" w14:textId="77777777" w:rsidR="008736B4" w:rsidRDefault="008736B4" w:rsidP="008736B4">
      <w:pPr>
        <w:spacing w:line="360" w:lineRule="auto"/>
        <w:ind w:left="852" w:hanging="426"/>
        <w:contextualSpacing/>
        <w:jc w:val="both"/>
        <w:rPr>
          <w:szCs w:val="20"/>
        </w:rPr>
      </w:pPr>
      <w:r>
        <w:rPr>
          <w:szCs w:val="20"/>
        </w:rPr>
        <w:tab/>
        <w:t>Minimalny okres gwarancji wymagany przez Zamawiającego to 36 miesięcy. Wykonawca oferuje okres gwarancji w formularzu ofertowym, przy czym za oferowany okres gwarancji otrzyma ilość punktów według następujących zasad:</w:t>
      </w:r>
    </w:p>
    <w:p w14:paraId="33C5DEFB" w14:textId="77777777" w:rsidR="008736B4" w:rsidRDefault="008736B4" w:rsidP="008736B4">
      <w:pPr>
        <w:pStyle w:val="Akapitzlist"/>
        <w:numPr>
          <w:ilvl w:val="0"/>
          <w:numId w:val="22"/>
        </w:numPr>
        <w:spacing w:line="360" w:lineRule="auto"/>
        <w:contextualSpacing/>
        <w:jc w:val="both"/>
        <w:rPr>
          <w:szCs w:val="20"/>
        </w:rPr>
      </w:pPr>
      <w:r>
        <w:rPr>
          <w:szCs w:val="20"/>
        </w:rPr>
        <w:t>36 miesięcy – 0 punktów</w:t>
      </w:r>
    </w:p>
    <w:p w14:paraId="490816CE" w14:textId="77777777" w:rsidR="008736B4" w:rsidRDefault="008736B4" w:rsidP="008736B4">
      <w:pPr>
        <w:pStyle w:val="Akapitzlist"/>
        <w:numPr>
          <w:ilvl w:val="0"/>
          <w:numId w:val="22"/>
        </w:numPr>
        <w:spacing w:line="360" w:lineRule="auto"/>
        <w:contextualSpacing/>
        <w:jc w:val="both"/>
        <w:rPr>
          <w:szCs w:val="20"/>
        </w:rPr>
      </w:pPr>
      <w:r>
        <w:rPr>
          <w:szCs w:val="20"/>
        </w:rPr>
        <w:t>37-48 miesięcy – 20 punktów</w:t>
      </w:r>
    </w:p>
    <w:p w14:paraId="565FAB96" w14:textId="77777777"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14:paraId="2F466FA9"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3C367BE3"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113B96F9"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361B8A53"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59967103"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7B7A5847"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F9993FB"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61CEC525"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546E08C9"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1C53F9E3"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9043EA">
        <w:br/>
      </w:r>
      <w:r w:rsidR="00407499" w:rsidRPr="00171095">
        <w:t>w celu ulepszenia treści ofert.</w:t>
      </w:r>
    </w:p>
    <w:p w14:paraId="5CA63E66" w14:textId="77777777" w:rsidR="00337569" w:rsidRPr="00171095" w:rsidRDefault="00171095" w:rsidP="0019688F">
      <w:pPr>
        <w:pStyle w:val="pkt"/>
        <w:spacing w:before="0" w:after="0" w:line="360" w:lineRule="auto"/>
        <w:ind w:left="426" w:hanging="426"/>
      </w:pPr>
      <w:r w:rsidRPr="00171095">
        <w:rPr>
          <w:b/>
          <w:bCs/>
        </w:rPr>
        <w:lastRenderedPageBreak/>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70B4AD16"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5E61239F"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4FA063B3"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71DBB2B"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2AA2451A"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2E41C02D"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2B764DFF"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749B0CB2"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B42F96E"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5367D9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51FE13A6"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1B4497EE" w14:textId="77777777" w:rsidR="00DE2294" w:rsidRPr="00171095" w:rsidRDefault="00171095" w:rsidP="0019688F">
      <w:pPr>
        <w:pStyle w:val="pkt"/>
        <w:spacing w:before="0" w:after="0" w:line="360" w:lineRule="auto"/>
        <w:ind w:left="426" w:hanging="426"/>
      </w:pPr>
      <w:r w:rsidRPr="00171095">
        <w:rPr>
          <w:b/>
        </w:rPr>
        <w:lastRenderedPageBreak/>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1854A06"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6175835F"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743DC061" w14:textId="51BAE507"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w:t>
      </w:r>
      <w:r w:rsidR="000B0E00">
        <w:t xml:space="preserve"> informacji o kierowniku budowy na cele zgłoszenia we właściwym nadzorze budowlanym oraz o kierownikach robót budowlanych oraz</w:t>
      </w:r>
      <w:r>
        <w:t xml:space="preserve"> uproszczonego kosztorysu ofertowego oraz do złożenia harmonogramu robót.</w:t>
      </w:r>
    </w:p>
    <w:p w14:paraId="000A4686"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25402AC5" w14:textId="77777777" w:rsidR="00383FED" w:rsidRPr="00C107D6" w:rsidRDefault="00383FED" w:rsidP="00C107D6">
      <w:pPr>
        <w:pStyle w:val="Akapitzlist"/>
        <w:numPr>
          <w:ilvl w:val="0"/>
          <w:numId w:val="24"/>
        </w:numPr>
        <w:spacing w:line="360" w:lineRule="auto"/>
        <w:jc w:val="both"/>
        <w:rPr>
          <w:szCs w:val="20"/>
        </w:rPr>
      </w:pPr>
      <w:r w:rsidRPr="00C107D6">
        <w:rPr>
          <w:szCs w:val="20"/>
        </w:rPr>
        <w:t>Zamawiający będzie wymagał od Wykonawcy, którego oferta zostanie uznana za najkorzystniejszą, złożenia zabezpieczenia należytego wykonania umowy w kwocie stanowiącej 5% ceny brutto podanej w jego ofercie.</w:t>
      </w:r>
    </w:p>
    <w:p w14:paraId="29B581DD"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należytego wykonania umowy należy wnieść przed podpisaniem umowy lub najpóźniej w dniu jej podpisania. Zamawiający zastrzega sobie możliwość zgłoszenia uwag i odmowy przyjęcia zabezpieczenia jeżeli nie będzie ono spełniało wymagań  niniejszej SIWZ.</w:t>
      </w:r>
    </w:p>
    <w:p w14:paraId="3343C88A"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można będzie wnieść w jednej lub kilku następujących formach:</w:t>
      </w:r>
    </w:p>
    <w:p w14:paraId="6F1A055D" w14:textId="77879CBB" w:rsidR="00383FED" w:rsidRPr="00C107D6" w:rsidRDefault="00383FED" w:rsidP="00C107D6">
      <w:pPr>
        <w:pStyle w:val="Akapitzlist"/>
        <w:numPr>
          <w:ilvl w:val="1"/>
          <w:numId w:val="25"/>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C107D6">
        <w:rPr>
          <w:szCs w:val="20"/>
        </w:rPr>
        <w:t xml:space="preserve">” </w:t>
      </w:r>
      <w:r w:rsidRPr="00C107D6">
        <w:rPr>
          <w:szCs w:val="20"/>
        </w:rPr>
        <w:t>Uwaga: Za termin wniesienia zabezpieczenia w formie pieniężnej przyjmuje się termin uznania na rachunku Zamawiającego,</w:t>
      </w:r>
    </w:p>
    <w:p w14:paraId="544CC329" w14:textId="77777777" w:rsidR="00383FED" w:rsidRDefault="00383FED" w:rsidP="00C107D6">
      <w:pPr>
        <w:pStyle w:val="Akapitzlist"/>
        <w:numPr>
          <w:ilvl w:val="1"/>
          <w:numId w:val="25"/>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14:paraId="1FE7D7D5" w14:textId="77777777" w:rsidR="00383FED" w:rsidRDefault="00383FED" w:rsidP="00C107D6">
      <w:pPr>
        <w:pStyle w:val="Akapitzlist"/>
        <w:numPr>
          <w:ilvl w:val="1"/>
          <w:numId w:val="25"/>
        </w:numPr>
        <w:spacing w:line="360" w:lineRule="auto"/>
        <w:jc w:val="both"/>
        <w:rPr>
          <w:szCs w:val="20"/>
        </w:rPr>
      </w:pPr>
      <w:r w:rsidRPr="00383FED">
        <w:rPr>
          <w:szCs w:val="20"/>
        </w:rPr>
        <w:t>gwarancjach bankowych,</w:t>
      </w:r>
    </w:p>
    <w:p w14:paraId="1C4FDB5A" w14:textId="77777777" w:rsidR="00383FED" w:rsidRDefault="00383FED" w:rsidP="00C107D6">
      <w:pPr>
        <w:pStyle w:val="Akapitzlist"/>
        <w:numPr>
          <w:ilvl w:val="1"/>
          <w:numId w:val="25"/>
        </w:numPr>
        <w:spacing w:line="360" w:lineRule="auto"/>
        <w:jc w:val="both"/>
        <w:rPr>
          <w:szCs w:val="20"/>
        </w:rPr>
      </w:pPr>
      <w:r w:rsidRPr="00383FED">
        <w:rPr>
          <w:szCs w:val="20"/>
        </w:rPr>
        <w:t>gwarancjach ubezpieczeniowych,</w:t>
      </w:r>
    </w:p>
    <w:p w14:paraId="3E9EBE6C" w14:textId="77777777" w:rsidR="00383FED" w:rsidRDefault="00383FED" w:rsidP="00C107D6">
      <w:pPr>
        <w:pStyle w:val="Akapitzlist"/>
        <w:numPr>
          <w:ilvl w:val="0"/>
          <w:numId w:val="24"/>
        </w:numPr>
        <w:spacing w:line="360" w:lineRule="auto"/>
        <w:jc w:val="both"/>
        <w:rPr>
          <w:szCs w:val="20"/>
        </w:rPr>
      </w:pPr>
      <w:r w:rsidRPr="00383FED">
        <w:rPr>
          <w:szCs w:val="20"/>
        </w:rPr>
        <w:lastRenderedPageBreak/>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14:paraId="6AFC0DF2"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wnoszone w formie innej, niż pieniądz należy złożyć w formie oryginału.</w:t>
      </w:r>
    </w:p>
    <w:p w14:paraId="62AFFF83" w14:textId="77777777" w:rsidR="00383FED" w:rsidRPr="00C107D6" w:rsidRDefault="00383FED" w:rsidP="00C107D6">
      <w:pPr>
        <w:pStyle w:val="Akapitzlist"/>
        <w:numPr>
          <w:ilvl w:val="0"/>
          <w:numId w:val="24"/>
        </w:numPr>
        <w:spacing w:line="360" w:lineRule="auto"/>
        <w:jc w:val="both"/>
        <w:rPr>
          <w:szCs w:val="20"/>
        </w:rPr>
      </w:pPr>
      <w:r w:rsidRPr="00C107D6">
        <w:rPr>
          <w:szCs w:val="20"/>
        </w:rPr>
        <w:t>Zamawiający nie wyraża zgody na tworzenie zabezpieczenia przez potrącenie z należności za częściowo wykonane roboty budowlane.</w:t>
      </w:r>
    </w:p>
    <w:p w14:paraId="1993CEDD" w14:textId="6473E344" w:rsidR="00C107D6" w:rsidRDefault="00383FED" w:rsidP="00B215B9">
      <w:pPr>
        <w:pStyle w:val="Akapitzlist"/>
        <w:numPr>
          <w:ilvl w:val="0"/>
          <w:numId w:val="24"/>
        </w:numPr>
        <w:spacing w:line="360" w:lineRule="auto"/>
        <w:jc w:val="both"/>
        <w:rPr>
          <w:szCs w:val="20"/>
        </w:rPr>
      </w:pPr>
      <w:r w:rsidRPr="00C107D6">
        <w:rPr>
          <w:szCs w:val="20"/>
        </w:rPr>
        <w:t>W przypadku wnoszenia zabezpieczenia w innej formie, niż pieniądz, treść dokumentu stanowiącego zabezpieczenie musi być zgodna z przepisami ustawy Prawo zamówień publicznych.</w:t>
      </w:r>
    </w:p>
    <w:p w14:paraId="2E9E1411" w14:textId="77777777" w:rsidR="00E53721" w:rsidRPr="00E53721" w:rsidRDefault="00E53721" w:rsidP="00E53721">
      <w:pPr>
        <w:spacing w:line="360" w:lineRule="auto"/>
        <w:jc w:val="both"/>
        <w:rPr>
          <w:szCs w:val="20"/>
        </w:rPr>
      </w:pPr>
    </w:p>
    <w:p w14:paraId="78138BCC"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20E70D91"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5B004246"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33FB6606"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4E85D1EA"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7ED2E0C3"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7B05821C"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1D5D7452"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w:t>
      </w:r>
      <w:r w:rsidR="006204E8" w:rsidRPr="00171095">
        <w:lastRenderedPageBreak/>
        <w:t xml:space="preserve">również organizacjom wpisanym na listę, o której mowa w art. 469 pkt 15 </w:t>
      </w:r>
      <w:r w:rsidR="00033137" w:rsidRPr="00171095">
        <w:t xml:space="preserve">p.z.p. </w:t>
      </w:r>
      <w:r w:rsidR="006204E8" w:rsidRPr="00171095">
        <w:t>oraz Rzecznikowi Małych i Średnich Przedsiębiorców.</w:t>
      </w:r>
    </w:p>
    <w:p w14:paraId="254422EA"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41FC3C88"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 xml:space="preserve">niezgodną z przepisami ustawy czynność Zamawiającego, podjętą w postępowaniu </w:t>
      </w:r>
      <w:r w:rsidR="009043EA">
        <w:rPr>
          <w:szCs w:val="20"/>
        </w:rPr>
        <w:br/>
      </w:r>
      <w:r w:rsidRPr="00171095">
        <w:rPr>
          <w:szCs w:val="20"/>
        </w:rPr>
        <w:t>o udzielenie zamówienia, w tym na projektowane postanowienie umowy;</w:t>
      </w:r>
    </w:p>
    <w:p w14:paraId="04AAF8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2E19E664"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32A85555"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7EDE70E5"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369E0B49"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6823C05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3E97AF9D"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5C38EF3A"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0F3E7211"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9AAC287"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56F59267"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lastRenderedPageBreak/>
        <w:t>p.z.p.</w:t>
      </w:r>
      <w:r w:rsidR="006204E8" w:rsidRPr="00171095">
        <w:t xml:space="preserve">, przesyłając jednocześnie jej odpis przeciwnikowi skargi. Złożenie skargi </w:t>
      </w:r>
      <w:r w:rsidR="009043E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25FE5FB2"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2AAA072F"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7E017CD5" w14:textId="77777777" w:rsidTr="00206A27">
        <w:tc>
          <w:tcPr>
            <w:tcW w:w="2835" w:type="dxa"/>
            <w:vAlign w:val="center"/>
          </w:tcPr>
          <w:p w14:paraId="57E24F8B"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20126D8D"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52A8810E" w14:textId="77777777" w:rsidTr="00206A27">
        <w:tc>
          <w:tcPr>
            <w:tcW w:w="2835" w:type="dxa"/>
            <w:vAlign w:val="center"/>
          </w:tcPr>
          <w:p w14:paraId="1A1EE394"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2E0D6355"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6376CDED" w14:textId="77777777" w:rsidTr="00206A27">
        <w:tc>
          <w:tcPr>
            <w:tcW w:w="2835" w:type="dxa"/>
            <w:vAlign w:val="center"/>
          </w:tcPr>
          <w:p w14:paraId="256BD360"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3498C2D2"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153851D" w14:textId="77777777" w:rsidTr="00206A27">
        <w:tc>
          <w:tcPr>
            <w:tcW w:w="2835" w:type="dxa"/>
            <w:vAlign w:val="center"/>
          </w:tcPr>
          <w:p w14:paraId="5FC6DC8E"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6B081D28"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4B5ECB53" w14:textId="77777777" w:rsidTr="00206A27">
        <w:tc>
          <w:tcPr>
            <w:tcW w:w="2835" w:type="dxa"/>
            <w:vAlign w:val="center"/>
          </w:tcPr>
          <w:p w14:paraId="6C266D7E" w14:textId="77777777"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14:paraId="19437150" w14:textId="77777777" w:rsidR="00760056" w:rsidRPr="00171095" w:rsidRDefault="00760056" w:rsidP="00752DEB">
            <w:pPr>
              <w:suppressAutoHyphens/>
              <w:spacing w:line="360" w:lineRule="auto"/>
              <w:rPr>
                <w:sz w:val="24"/>
              </w:rPr>
            </w:pPr>
            <w:r w:rsidRPr="00171095">
              <w:rPr>
                <w:sz w:val="24"/>
              </w:rPr>
              <w:t>Wykaz robót budowlanych</w:t>
            </w:r>
          </w:p>
        </w:tc>
      </w:tr>
      <w:tr w:rsidR="00760056" w:rsidRPr="00171095" w14:paraId="62B2649A" w14:textId="77777777" w:rsidTr="00206A27">
        <w:tc>
          <w:tcPr>
            <w:tcW w:w="2835" w:type="dxa"/>
            <w:vAlign w:val="center"/>
          </w:tcPr>
          <w:p w14:paraId="0EAB1103"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53B85C1B"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3ED866CC" w14:textId="77777777" w:rsidTr="00206A27">
        <w:tc>
          <w:tcPr>
            <w:tcW w:w="2835" w:type="dxa"/>
            <w:vAlign w:val="center"/>
          </w:tcPr>
          <w:p w14:paraId="70CA5E41" w14:textId="77777777" w:rsidR="00760056" w:rsidRDefault="00760056" w:rsidP="00206A27">
            <w:pPr>
              <w:suppressAutoHyphens/>
              <w:spacing w:line="360" w:lineRule="auto"/>
              <w:jc w:val="right"/>
              <w:rPr>
                <w:sz w:val="24"/>
              </w:rPr>
            </w:pPr>
            <w:r w:rsidRPr="00171095">
              <w:rPr>
                <w:sz w:val="24"/>
              </w:rPr>
              <w:t>Załącznik nr 7</w:t>
            </w:r>
          </w:p>
          <w:p w14:paraId="1E8EDC8D" w14:textId="77777777" w:rsidR="002829CC" w:rsidRPr="00171095" w:rsidRDefault="002829CC" w:rsidP="00206A27">
            <w:pPr>
              <w:suppressAutoHyphens/>
              <w:spacing w:line="360" w:lineRule="auto"/>
              <w:jc w:val="right"/>
              <w:rPr>
                <w:sz w:val="24"/>
              </w:rPr>
            </w:pPr>
            <w:r>
              <w:rPr>
                <w:sz w:val="24"/>
              </w:rPr>
              <w:t>Załącznik dodatkowy</w:t>
            </w:r>
          </w:p>
        </w:tc>
        <w:tc>
          <w:tcPr>
            <w:tcW w:w="6237" w:type="dxa"/>
          </w:tcPr>
          <w:p w14:paraId="69AFC74A" w14:textId="77777777" w:rsidR="002829CC" w:rsidRDefault="00760056" w:rsidP="00171095">
            <w:pPr>
              <w:suppressAutoHyphens/>
              <w:spacing w:line="360" w:lineRule="auto"/>
              <w:rPr>
                <w:sz w:val="24"/>
              </w:rPr>
            </w:pPr>
            <w:r w:rsidRPr="00171095">
              <w:rPr>
                <w:sz w:val="24"/>
              </w:rPr>
              <w:t>Opis Przedmiotu Zamówienia (OPZ)</w:t>
            </w:r>
          </w:p>
          <w:p w14:paraId="177D5952" w14:textId="77777777" w:rsidR="002829CC" w:rsidRPr="00171095" w:rsidRDefault="002829CC" w:rsidP="00171095">
            <w:pPr>
              <w:suppressAutoHyphens/>
              <w:spacing w:line="360" w:lineRule="auto"/>
              <w:rPr>
                <w:sz w:val="24"/>
              </w:rPr>
            </w:pPr>
            <w:r>
              <w:rPr>
                <w:sz w:val="24"/>
              </w:rPr>
              <w:t>Dokumentacja projektowa oraz przedmiar robót</w:t>
            </w:r>
          </w:p>
        </w:tc>
      </w:tr>
    </w:tbl>
    <w:p w14:paraId="0EEC68F1" w14:textId="77777777" w:rsidR="00752DEB" w:rsidRDefault="00752DEB" w:rsidP="00171095">
      <w:pPr>
        <w:suppressAutoHyphens/>
        <w:spacing w:after="40" w:line="360" w:lineRule="auto"/>
        <w:ind w:left="709" w:hanging="709"/>
        <w:jc w:val="right"/>
        <w:rPr>
          <w:b/>
          <w:szCs w:val="20"/>
        </w:rPr>
      </w:pPr>
    </w:p>
    <w:p w14:paraId="1E82AE4F" w14:textId="77777777" w:rsidR="00752DEB" w:rsidRDefault="00752DEB" w:rsidP="00171095">
      <w:pPr>
        <w:suppressAutoHyphens/>
        <w:spacing w:after="40" w:line="360" w:lineRule="auto"/>
        <w:ind w:left="709" w:hanging="709"/>
        <w:jc w:val="right"/>
        <w:rPr>
          <w:b/>
          <w:szCs w:val="20"/>
        </w:rPr>
      </w:pPr>
    </w:p>
    <w:p w14:paraId="1665CE7D"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5431" w14:textId="77777777" w:rsidR="00C90E81" w:rsidRDefault="00C90E81">
      <w:r>
        <w:separator/>
      </w:r>
    </w:p>
  </w:endnote>
  <w:endnote w:type="continuationSeparator" w:id="0">
    <w:p w14:paraId="182F36DD" w14:textId="77777777" w:rsidR="00C90E81" w:rsidRDefault="00C9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3401"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8D13F7">
      <w:rPr>
        <w:rFonts w:ascii="Times New Roman" w:hAnsi="Times New Roman"/>
        <w:noProof/>
        <w:sz w:val="16"/>
      </w:rPr>
      <w:t>26</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E354" w14:textId="77777777" w:rsidR="00C90E81" w:rsidRDefault="00C90E81">
      <w:r>
        <w:separator/>
      </w:r>
    </w:p>
  </w:footnote>
  <w:footnote w:type="continuationSeparator" w:id="0">
    <w:p w14:paraId="7F6949D5" w14:textId="77777777" w:rsidR="00C90E81" w:rsidRDefault="00C90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EBE3B49"/>
    <w:multiLevelType w:val="hybridMultilevel"/>
    <w:tmpl w:val="326E28AE"/>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9" w15:restartNumberingAfterBreak="0">
    <w:nsid w:val="109C67A0"/>
    <w:multiLevelType w:val="hybridMultilevel"/>
    <w:tmpl w:val="3CFCD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D1B53BE"/>
    <w:multiLevelType w:val="hybridMultilevel"/>
    <w:tmpl w:val="3F2018CA"/>
    <w:lvl w:ilvl="0" w:tplc="28E41858">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2"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382E7830"/>
    <w:multiLevelType w:val="hybridMultilevel"/>
    <w:tmpl w:val="21E81DC2"/>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1C2EF0"/>
    <w:multiLevelType w:val="hybridMultilevel"/>
    <w:tmpl w:val="B564426A"/>
    <w:lvl w:ilvl="0" w:tplc="30BE6BA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79131F14"/>
    <w:multiLevelType w:val="hybridMultilevel"/>
    <w:tmpl w:val="EE746C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1146"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8B0A01"/>
    <w:multiLevelType w:val="hybridMultilevel"/>
    <w:tmpl w:val="2C644BDA"/>
    <w:lvl w:ilvl="0" w:tplc="E6A4CDC8">
      <w:start w:val="1"/>
      <w:numFmt w:val="decimal"/>
      <w:lvlText w:val="%1."/>
      <w:lvlJc w:val="left"/>
      <w:pPr>
        <w:ind w:left="562" w:hanging="4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524973432">
    <w:abstractNumId w:val="2"/>
  </w:num>
  <w:num w:numId="2" w16cid:durableId="1522552656">
    <w:abstractNumId w:val="1"/>
  </w:num>
  <w:num w:numId="3" w16cid:durableId="599071720">
    <w:abstractNumId w:val="0"/>
  </w:num>
  <w:num w:numId="4" w16cid:durableId="1875655394">
    <w:abstractNumId w:val="2"/>
  </w:num>
  <w:num w:numId="5" w16cid:durableId="1447507877">
    <w:abstractNumId w:val="1"/>
  </w:num>
  <w:num w:numId="6" w16cid:durableId="783811716">
    <w:abstractNumId w:val="0"/>
  </w:num>
  <w:num w:numId="7" w16cid:durableId="1953633361">
    <w:abstractNumId w:val="2"/>
  </w:num>
  <w:num w:numId="8" w16cid:durableId="1135634647">
    <w:abstractNumId w:val="1"/>
  </w:num>
  <w:num w:numId="9" w16cid:durableId="861476959">
    <w:abstractNumId w:val="0"/>
  </w:num>
  <w:num w:numId="10" w16cid:durableId="530532245">
    <w:abstractNumId w:val="0"/>
  </w:num>
  <w:num w:numId="11" w16cid:durableId="1695881393">
    <w:abstractNumId w:val="2"/>
  </w:num>
  <w:num w:numId="12" w16cid:durableId="682512112">
    <w:abstractNumId w:val="1"/>
  </w:num>
  <w:num w:numId="13" w16cid:durableId="837185601">
    <w:abstractNumId w:val="22"/>
  </w:num>
  <w:num w:numId="14" w16cid:durableId="1151866898">
    <w:abstractNumId w:val="16"/>
  </w:num>
  <w:num w:numId="15" w16cid:durableId="1641378172">
    <w:abstractNumId w:val="20"/>
  </w:num>
  <w:num w:numId="16" w16cid:durableId="1114329454">
    <w:abstractNumId w:val="19"/>
  </w:num>
  <w:num w:numId="17" w16cid:durableId="1620912823">
    <w:abstractNumId w:val="18"/>
    <w:lvlOverride w:ilvl="0">
      <w:startOverride w:val="1"/>
    </w:lvlOverride>
  </w:num>
  <w:num w:numId="18" w16cid:durableId="166749146">
    <w:abstractNumId w:val="15"/>
    <w:lvlOverride w:ilvl="0">
      <w:startOverride w:val="1"/>
    </w:lvlOverride>
  </w:num>
  <w:num w:numId="19" w16cid:durableId="1041055855">
    <w:abstractNumId w:val="13"/>
  </w:num>
  <w:num w:numId="20" w16cid:durableId="1544364748">
    <w:abstractNumId w:val="23"/>
  </w:num>
  <w:num w:numId="21" w16cid:durableId="1087575248">
    <w:abstractNumId w:val="12"/>
  </w:num>
  <w:num w:numId="22" w16cid:durableId="1967467504">
    <w:abstractNumId w:val="10"/>
  </w:num>
  <w:num w:numId="23" w16cid:durableId="2038315501">
    <w:abstractNumId w:val="17"/>
  </w:num>
  <w:num w:numId="24" w16cid:durableId="1457023250">
    <w:abstractNumId w:val="21"/>
  </w:num>
  <w:num w:numId="25" w16cid:durableId="1646080354">
    <w:abstractNumId w:val="24"/>
  </w:num>
  <w:num w:numId="26" w16cid:durableId="898398571">
    <w:abstractNumId w:val="8"/>
  </w:num>
  <w:num w:numId="27" w16cid:durableId="1567110880">
    <w:abstractNumId w:val="9"/>
  </w:num>
  <w:num w:numId="28" w16cid:durableId="673922030">
    <w:abstractNumId w:val="14"/>
  </w:num>
  <w:num w:numId="29" w16cid:durableId="1402215131">
    <w:abstractNumId w:val="25"/>
  </w:num>
  <w:num w:numId="30" w16cid:durableId="1758283772">
    <w:abstractNumId w:val="14"/>
  </w:num>
  <w:num w:numId="31" w16cid:durableId="107893842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37C3D"/>
    <w:rsid w:val="0004004F"/>
    <w:rsid w:val="00040703"/>
    <w:rsid w:val="00040AB2"/>
    <w:rsid w:val="00040F4D"/>
    <w:rsid w:val="00041076"/>
    <w:rsid w:val="00041364"/>
    <w:rsid w:val="00041891"/>
    <w:rsid w:val="0004244F"/>
    <w:rsid w:val="00042831"/>
    <w:rsid w:val="0004303A"/>
    <w:rsid w:val="00045981"/>
    <w:rsid w:val="00045E04"/>
    <w:rsid w:val="000474A2"/>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3A9"/>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2B80"/>
    <w:rsid w:val="000A3ECD"/>
    <w:rsid w:val="000A4D1B"/>
    <w:rsid w:val="000A52C2"/>
    <w:rsid w:val="000A5D0F"/>
    <w:rsid w:val="000A6233"/>
    <w:rsid w:val="000A7CB3"/>
    <w:rsid w:val="000B0E00"/>
    <w:rsid w:val="000B2B61"/>
    <w:rsid w:val="000B2D78"/>
    <w:rsid w:val="000B3893"/>
    <w:rsid w:val="000B3997"/>
    <w:rsid w:val="000B3BB8"/>
    <w:rsid w:val="000B4718"/>
    <w:rsid w:val="000B6412"/>
    <w:rsid w:val="000B735C"/>
    <w:rsid w:val="000C057B"/>
    <w:rsid w:val="000C09A6"/>
    <w:rsid w:val="000C10D7"/>
    <w:rsid w:val="000C16C8"/>
    <w:rsid w:val="000C2284"/>
    <w:rsid w:val="000C2618"/>
    <w:rsid w:val="000C393D"/>
    <w:rsid w:val="000C59C6"/>
    <w:rsid w:val="000C68CE"/>
    <w:rsid w:val="000C7661"/>
    <w:rsid w:val="000C7CD0"/>
    <w:rsid w:val="000D00DF"/>
    <w:rsid w:val="000D0EDA"/>
    <w:rsid w:val="000D177F"/>
    <w:rsid w:val="000D4767"/>
    <w:rsid w:val="000D510C"/>
    <w:rsid w:val="000D51FB"/>
    <w:rsid w:val="000D56F0"/>
    <w:rsid w:val="000D648C"/>
    <w:rsid w:val="000D6D7F"/>
    <w:rsid w:val="000E02EF"/>
    <w:rsid w:val="000E1148"/>
    <w:rsid w:val="000E262C"/>
    <w:rsid w:val="000E3E7A"/>
    <w:rsid w:val="000E44D8"/>
    <w:rsid w:val="000E4619"/>
    <w:rsid w:val="000E5850"/>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1889"/>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1E5B"/>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C743E"/>
    <w:rsid w:val="001D1107"/>
    <w:rsid w:val="001D1310"/>
    <w:rsid w:val="001D1713"/>
    <w:rsid w:val="001D28CC"/>
    <w:rsid w:val="001D28F0"/>
    <w:rsid w:val="001D2B2E"/>
    <w:rsid w:val="001D2B44"/>
    <w:rsid w:val="001D3387"/>
    <w:rsid w:val="001E117E"/>
    <w:rsid w:val="001E1653"/>
    <w:rsid w:val="001E2E25"/>
    <w:rsid w:val="001E3BBE"/>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82D"/>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2D21"/>
    <w:rsid w:val="002636C4"/>
    <w:rsid w:val="00263AF9"/>
    <w:rsid w:val="0026735F"/>
    <w:rsid w:val="00270106"/>
    <w:rsid w:val="0027260C"/>
    <w:rsid w:val="00273440"/>
    <w:rsid w:val="00276478"/>
    <w:rsid w:val="00276E9A"/>
    <w:rsid w:val="0028068E"/>
    <w:rsid w:val="002806B6"/>
    <w:rsid w:val="00280AFD"/>
    <w:rsid w:val="00281D53"/>
    <w:rsid w:val="002829CC"/>
    <w:rsid w:val="00283291"/>
    <w:rsid w:val="00283E89"/>
    <w:rsid w:val="0029090D"/>
    <w:rsid w:val="00290AE2"/>
    <w:rsid w:val="00291857"/>
    <w:rsid w:val="00291C20"/>
    <w:rsid w:val="00292068"/>
    <w:rsid w:val="00292291"/>
    <w:rsid w:val="002932F2"/>
    <w:rsid w:val="00294FEF"/>
    <w:rsid w:val="00295E61"/>
    <w:rsid w:val="0029658D"/>
    <w:rsid w:val="002967F6"/>
    <w:rsid w:val="002A08B0"/>
    <w:rsid w:val="002A1AE6"/>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3014"/>
    <w:rsid w:val="003147EA"/>
    <w:rsid w:val="00314C57"/>
    <w:rsid w:val="00315D55"/>
    <w:rsid w:val="003162EB"/>
    <w:rsid w:val="00317510"/>
    <w:rsid w:val="00320B93"/>
    <w:rsid w:val="00321201"/>
    <w:rsid w:val="00322343"/>
    <w:rsid w:val="00327889"/>
    <w:rsid w:val="00330F23"/>
    <w:rsid w:val="00331B3B"/>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11B"/>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35B"/>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17754"/>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111"/>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997"/>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113"/>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0CDC"/>
    <w:rsid w:val="004C1E72"/>
    <w:rsid w:val="004C2EEB"/>
    <w:rsid w:val="004C33E9"/>
    <w:rsid w:val="004C39ED"/>
    <w:rsid w:val="004C5FBE"/>
    <w:rsid w:val="004C6228"/>
    <w:rsid w:val="004C6EDC"/>
    <w:rsid w:val="004D03E8"/>
    <w:rsid w:val="004D179C"/>
    <w:rsid w:val="004D1E27"/>
    <w:rsid w:val="004D2522"/>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434"/>
    <w:rsid w:val="00511A09"/>
    <w:rsid w:val="005121FE"/>
    <w:rsid w:val="00512561"/>
    <w:rsid w:val="00512AA4"/>
    <w:rsid w:val="00513407"/>
    <w:rsid w:val="00513E9D"/>
    <w:rsid w:val="0051537A"/>
    <w:rsid w:val="00523540"/>
    <w:rsid w:val="00523A86"/>
    <w:rsid w:val="00527521"/>
    <w:rsid w:val="00527C53"/>
    <w:rsid w:val="00530903"/>
    <w:rsid w:val="0053121E"/>
    <w:rsid w:val="00532278"/>
    <w:rsid w:val="005328EC"/>
    <w:rsid w:val="00533D47"/>
    <w:rsid w:val="00533E48"/>
    <w:rsid w:val="00535000"/>
    <w:rsid w:val="005353AC"/>
    <w:rsid w:val="005356AD"/>
    <w:rsid w:val="0054168E"/>
    <w:rsid w:val="00541DD9"/>
    <w:rsid w:val="00542B4C"/>
    <w:rsid w:val="00543FAE"/>
    <w:rsid w:val="0054472F"/>
    <w:rsid w:val="00544D90"/>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413"/>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51F"/>
    <w:rsid w:val="005F6BC2"/>
    <w:rsid w:val="005F7330"/>
    <w:rsid w:val="005F758C"/>
    <w:rsid w:val="005F7CF9"/>
    <w:rsid w:val="005F7DC2"/>
    <w:rsid w:val="00600373"/>
    <w:rsid w:val="00600A8B"/>
    <w:rsid w:val="00601FBC"/>
    <w:rsid w:val="00602324"/>
    <w:rsid w:val="00602DAA"/>
    <w:rsid w:val="0060346E"/>
    <w:rsid w:val="0060556B"/>
    <w:rsid w:val="006057A5"/>
    <w:rsid w:val="006069F7"/>
    <w:rsid w:val="00606BE2"/>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3D2F"/>
    <w:rsid w:val="0064415A"/>
    <w:rsid w:val="00644944"/>
    <w:rsid w:val="006453D4"/>
    <w:rsid w:val="00645449"/>
    <w:rsid w:val="00645D97"/>
    <w:rsid w:val="00646FD9"/>
    <w:rsid w:val="0064790D"/>
    <w:rsid w:val="00647C5B"/>
    <w:rsid w:val="00651132"/>
    <w:rsid w:val="00651CF4"/>
    <w:rsid w:val="00652AE5"/>
    <w:rsid w:val="00653685"/>
    <w:rsid w:val="006538DD"/>
    <w:rsid w:val="00657005"/>
    <w:rsid w:val="00657D08"/>
    <w:rsid w:val="00657F2B"/>
    <w:rsid w:val="00661052"/>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1D84"/>
    <w:rsid w:val="00683535"/>
    <w:rsid w:val="0068399D"/>
    <w:rsid w:val="00684683"/>
    <w:rsid w:val="00685F35"/>
    <w:rsid w:val="00686483"/>
    <w:rsid w:val="006869D8"/>
    <w:rsid w:val="006872D9"/>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7D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2B88"/>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183"/>
    <w:rsid w:val="00711310"/>
    <w:rsid w:val="007159BF"/>
    <w:rsid w:val="00716392"/>
    <w:rsid w:val="007163F2"/>
    <w:rsid w:val="00716A40"/>
    <w:rsid w:val="0071751C"/>
    <w:rsid w:val="00717649"/>
    <w:rsid w:val="0072113D"/>
    <w:rsid w:val="007225D0"/>
    <w:rsid w:val="007259C0"/>
    <w:rsid w:val="00725D31"/>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4599"/>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A49"/>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DFE"/>
    <w:rsid w:val="007F329E"/>
    <w:rsid w:val="007F751D"/>
    <w:rsid w:val="007F79BD"/>
    <w:rsid w:val="00800EFF"/>
    <w:rsid w:val="00801B57"/>
    <w:rsid w:val="00801FBF"/>
    <w:rsid w:val="00801FCE"/>
    <w:rsid w:val="008026F7"/>
    <w:rsid w:val="008032E7"/>
    <w:rsid w:val="00804A12"/>
    <w:rsid w:val="00805351"/>
    <w:rsid w:val="00807141"/>
    <w:rsid w:val="00810956"/>
    <w:rsid w:val="00812443"/>
    <w:rsid w:val="00815B5E"/>
    <w:rsid w:val="00822799"/>
    <w:rsid w:val="008228F7"/>
    <w:rsid w:val="008239BD"/>
    <w:rsid w:val="008252B2"/>
    <w:rsid w:val="00825AB2"/>
    <w:rsid w:val="00831776"/>
    <w:rsid w:val="00832858"/>
    <w:rsid w:val="00834D6A"/>
    <w:rsid w:val="00835260"/>
    <w:rsid w:val="008368AB"/>
    <w:rsid w:val="00836909"/>
    <w:rsid w:val="008376F5"/>
    <w:rsid w:val="00840B2F"/>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0A96"/>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13F7"/>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3EA"/>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47AE8"/>
    <w:rsid w:val="00950A03"/>
    <w:rsid w:val="00951550"/>
    <w:rsid w:val="00951FAF"/>
    <w:rsid w:val="00952895"/>
    <w:rsid w:val="009538F6"/>
    <w:rsid w:val="00955A1D"/>
    <w:rsid w:val="0096025F"/>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70B"/>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0176"/>
    <w:rsid w:val="009B2BE1"/>
    <w:rsid w:val="009B31B1"/>
    <w:rsid w:val="009B3311"/>
    <w:rsid w:val="009B48E2"/>
    <w:rsid w:val="009B5DCB"/>
    <w:rsid w:val="009B6F33"/>
    <w:rsid w:val="009B7B93"/>
    <w:rsid w:val="009C0E0C"/>
    <w:rsid w:val="009C163D"/>
    <w:rsid w:val="009C170A"/>
    <w:rsid w:val="009C3984"/>
    <w:rsid w:val="009C403F"/>
    <w:rsid w:val="009C428F"/>
    <w:rsid w:val="009C4B57"/>
    <w:rsid w:val="009C59F2"/>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9F7CCA"/>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34A2"/>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3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C7F2B"/>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37321"/>
    <w:rsid w:val="00B4072F"/>
    <w:rsid w:val="00B423C1"/>
    <w:rsid w:val="00B42E17"/>
    <w:rsid w:val="00B440B9"/>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CDB"/>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828"/>
    <w:rsid w:val="00BD5D76"/>
    <w:rsid w:val="00BD7C8A"/>
    <w:rsid w:val="00BD7E28"/>
    <w:rsid w:val="00BE0D56"/>
    <w:rsid w:val="00BE1047"/>
    <w:rsid w:val="00BE17E8"/>
    <w:rsid w:val="00BE1D44"/>
    <w:rsid w:val="00BE2AA2"/>
    <w:rsid w:val="00BE2E18"/>
    <w:rsid w:val="00BE32AD"/>
    <w:rsid w:val="00BE374E"/>
    <w:rsid w:val="00BE386C"/>
    <w:rsid w:val="00BE3FBE"/>
    <w:rsid w:val="00BE553A"/>
    <w:rsid w:val="00BE75CB"/>
    <w:rsid w:val="00BF0324"/>
    <w:rsid w:val="00BF0883"/>
    <w:rsid w:val="00BF0AFD"/>
    <w:rsid w:val="00BF14F1"/>
    <w:rsid w:val="00BF21BC"/>
    <w:rsid w:val="00BF5B75"/>
    <w:rsid w:val="00BF64E8"/>
    <w:rsid w:val="00BF72E9"/>
    <w:rsid w:val="00C00D9E"/>
    <w:rsid w:val="00C01278"/>
    <w:rsid w:val="00C02D17"/>
    <w:rsid w:val="00C03D69"/>
    <w:rsid w:val="00C048B0"/>
    <w:rsid w:val="00C04F4E"/>
    <w:rsid w:val="00C054E5"/>
    <w:rsid w:val="00C05FF1"/>
    <w:rsid w:val="00C07A5E"/>
    <w:rsid w:val="00C107D6"/>
    <w:rsid w:val="00C135CB"/>
    <w:rsid w:val="00C138F1"/>
    <w:rsid w:val="00C14757"/>
    <w:rsid w:val="00C14C8E"/>
    <w:rsid w:val="00C14DCC"/>
    <w:rsid w:val="00C15290"/>
    <w:rsid w:val="00C15F45"/>
    <w:rsid w:val="00C160BE"/>
    <w:rsid w:val="00C22631"/>
    <w:rsid w:val="00C22B87"/>
    <w:rsid w:val="00C23F9E"/>
    <w:rsid w:val="00C24865"/>
    <w:rsid w:val="00C270B9"/>
    <w:rsid w:val="00C27B56"/>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0E81"/>
    <w:rsid w:val="00C9214C"/>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8CB"/>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8CE"/>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954"/>
    <w:rsid w:val="00D65F98"/>
    <w:rsid w:val="00D66C61"/>
    <w:rsid w:val="00D71BB9"/>
    <w:rsid w:val="00D73270"/>
    <w:rsid w:val="00D7499E"/>
    <w:rsid w:val="00D74A7A"/>
    <w:rsid w:val="00D75C30"/>
    <w:rsid w:val="00D76E00"/>
    <w:rsid w:val="00D8122E"/>
    <w:rsid w:val="00D8176F"/>
    <w:rsid w:val="00D81801"/>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C3E"/>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D74BB"/>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4587"/>
    <w:rsid w:val="00E047B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7CD"/>
    <w:rsid w:val="00E47B02"/>
    <w:rsid w:val="00E52BAD"/>
    <w:rsid w:val="00E52C3B"/>
    <w:rsid w:val="00E53721"/>
    <w:rsid w:val="00E5433E"/>
    <w:rsid w:val="00E5482A"/>
    <w:rsid w:val="00E563D7"/>
    <w:rsid w:val="00E60549"/>
    <w:rsid w:val="00E62721"/>
    <w:rsid w:val="00E62CBB"/>
    <w:rsid w:val="00E63D30"/>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2219"/>
    <w:rsid w:val="00E93362"/>
    <w:rsid w:val="00E934BC"/>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348F"/>
    <w:rsid w:val="00EE4BD8"/>
    <w:rsid w:val="00EE4D5E"/>
    <w:rsid w:val="00EE59EC"/>
    <w:rsid w:val="00EE6805"/>
    <w:rsid w:val="00EE7EE7"/>
    <w:rsid w:val="00EF0518"/>
    <w:rsid w:val="00EF0C76"/>
    <w:rsid w:val="00EF1C24"/>
    <w:rsid w:val="00EF2318"/>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BA6"/>
    <w:rsid w:val="00F71EBE"/>
    <w:rsid w:val="00F72EFC"/>
    <w:rsid w:val="00F73A87"/>
    <w:rsid w:val="00F74F25"/>
    <w:rsid w:val="00F757A9"/>
    <w:rsid w:val="00F7689B"/>
    <w:rsid w:val="00F8048E"/>
    <w:rsid w:val="00F80EC7"/>
    <w:rsid w:val="00F8117E"/>
    <w:rsid w:val="00F82107"/>
    <w:rsid w:val="00F83806"/>
    <w:rsid w:val="00F87442"/>
    <w:rsid w:val="00F90BE8"/>
    <w:rsid w:val="00F92ED9"/>
    <w:rsid w:val="00F93F84"/>
    <w:rsid w:val="00F95510"/>
    <w:rsid w:val="00F95704"/>
    <w:rsid w:val="00F95F3C"/>
    <w:rsid w:val="00F96229"/>
    <w:rsid w:val="00FA14BE"/>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D23"/>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2CD9"/>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A9BD7"/>
  <w14:defaultImageDpi w14:val="0"/>
  <w15:docId w15:val="{C176BC5B-097C-4484-A198-D6E564A1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836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509372109">
      <w:bodyDiv w:val="1"/>
      <w:marLeft w:val="0"/>
      <w:marRight w:val="0"/>
      <w:marTop w:val="0"/>
      <w:marBottom w:val="0"/>
      <w:divBdr>
        <w:top w:val="none" w:sz="0" w:space="0" w:color="auto"/>
        <w:left w:val="none" w:sz="0" w:space="0" w:color="auto"/>
        <w:bottom w:val="none" w:sz="0" w:space="0" w:color="auto"/>
        <w:right w:val="none" w:sz="0" w:space="0" w:color="auto"/>
      </w:divBdr>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80028">
      <w:bodyDiv w:val="1"/>
      <w:marLeft w:val="0"/>
      <w:marRight w:val="0"/>
      <w:marTop w:val="0"/>
      <w:marBottom w:val="0"/>
      <w:divBdr>
        <w:top w:val="none" w:sz="0" w:space="0" w:color="auto"/>
        <w:left w:val="none" w:sz="0" w:space="0" w:color="auto"/>
        <w:bottom w:val="none" w:sz="0" w:space="0" w:color="auto"/>
        <w:right w:val="none" w:sz="0" w:space="0" w:color="auto"/>
      </w:divBdr>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21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093014901">
          <w:marLeft w:val="0"/>
          <w:marRight w:val="0"/>
          <w:marTop w:val="240"/>
          <w:marBottom w:val="0"/>
          <w:divBdr>
            <w:top w:val="none" w:sz="0" w:space="0" w:color="auto"/>
            <w:left w:val="none" w:sz="0" w:space="0" w:color="auto"/>
            <w:bottom w:val="none" w:sz="0" w:space="0" w:color="auto"/>
            <w:right w:val="none" w:sz="0" w:space="0" w:color="auto"/>
          </w:divBdr>
        </w:div>
        <w:div w:id="95374902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wiskit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rad.gruza@wiskitki.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kdoradztwo@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wiskit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768F-72A6-46F3-A1FC-4680892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26</Pages>
  <Words>6658</Words>
  <Characters>42835</Characters>
  <Application>Microsoft Office Word</Application>
  <DocSecurity>0</DocSecurity>
  <Lines>356</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Informatyka Wiskitki</cp:lastModifiedBy>
  <cp:revision>24</cp:revision>
  <cp:lastPrinted>2023-03-22T10:29:00Z</cp:lastPrinted>
  <dcterms:created xsi:type="dcterms:W3CDTF">2023-03-27T07:49:00Z</dcterms:created>
  <dcterms:modified xsi:type="dcterms:W3CDTF">2024-03-07T11:28:00Z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