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63CBB" w14:textId="77777777" w:rsidR="00652303" w:rsidRDefault="00652303" w:rsidP="00652303">
      <w:pPr>
        <w:pStyle w:val="Tekstpodstawowy"/>
        <w:spacing w:line="360" w:lineRule="auto"/>
        <w:ind w:left="540"/>
        <w:rPr>
          <w:b/>
          <w:bCs/>
          <w:sz w:val="24"/>
        </w:rPr>
      </w:pPr>
    </w:p>
    <w:p w14:paraId="0DE49DD7" w14:textId="77777777" w:rsidR="00652303" w:rsidRPr="00F57F28" w:rsidRDefault="00652303" w:rsidP="00652303">
      <w:pPr>
        <w:pStyle w:val="Tekstpodstawowy"/>
        <w:spacing w:line="360" w:lineRule="auto"/>
        <w:ind w:left="540"/>
        <w:rPr>
          <w:sz w:val="24"/>
        </w:rPr>
      </w:pPr>
      <w:r>
        <w:rPr>
          <w:b/>
          <w:bCs/>
          <w:sz w:val="24"/>
        </w:rPr>
        <w:t xml:space="preserve">Tabela nr 4 Wymagania ogólne aparatu do </w:t>
      </w:r>
      <w:proofErr w:type="spellStart"/>
      <w:r>
        <w:rPr>
          <w:b/>
          <w:bCs/>
          <w:sz w:val="24"/>
        </w:rPr>
        <w:t>barwień</w:t>
      </w:r>
      <w:proofErr w:type="spellEnd"/>
      <w:r>
        <w:rPr>
          <w:b/>
          <w:bCs/>
          <w:sz w:val="24"/>
        </w:rPr>
        <w:t xml:space="preserve"> histochemicznych.</w:t>
      </w:r>
    </w:p>
    <w:p w14:paraId="1687F4A9" w14:textId="77777777" w:rsidR="00652303" w:rsidRDefault="00652303" w:rsidP="00652303"/>
    <w:p w14:paraId="78C1A9AB" w14:textId="77777777" w:rsidR="00652303" w:rsidRPr="00F57F28" w:rsidRDefault="00652303" w:rsidP="00652303"/>
    <w:tbl>
      <w:tblPr>
        <w:tblW w:w="178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3"/>
        <w:gridCol w:w="205"/>
        <w:gridCol w:w="160"/>
        <w:gridCol w:w="160"/>
        <w:gridCol w:w="960"/>
        <w:gridCol w:w="1180"/>
        <w:gridCol w:w="960"/>
        <w:gridCol w:w="960"/>
        <w:gridCol w:w="640"/>
        <w:gridCol w:w="960"/>
        <w:gridCol w:w="340"/>
        <w:gridCol w:w="960"/>
        <w:gridCol w:w="320"/>
      </w:tblGrid>
      <w:tr w:rsidR="00652303" w:rsidRPr="00F57F28" w14:paraId="124F8D17" w14:textId="77777777" w:rsidTr="0061326A">
        <w:trPr>
          <w:trHeight w:val="255"/>
        </w:trPr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9"/>
              <w:gridCol w:w="1562"/>
              <w:gridCol w:w="5180"/>
              <w:gridCol w:w="916"/>
              <w:gridCol w:w="1686"/>
            </w:tblGrid>
            <w:tr w:rsidR="00652303" w:rsidRPr="006240D1" w14:paraId="2762944B" w14:textId="77777777" w:rsidTr="0061326A">
              <w:trPr>
                <w:cantSplit/>
                <w:tblHeader/>
              </w:trPr>
              <w:tc>
                <w:tcPr>
                  <w:tcW w:w="509" w:type="dxa"/>
                  <w:shd w:val="clear" w:color="auto" w:fill="D9D9D9"/>
                  <w:vAlign w:val="center"/>
                </w:tcPr>
                <w:p w14:paraId="389700C1" w14:textId="77777777" w:rsidR="00652303" w:rsidRPr="001A5017" w:rsidRDefault="00652303" w:rsidP="0061326A">
                  <w:pPr>
                    <w:pStyle w:val="Tekstpodstawowy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1562" w:type="dxa"/>
                  <w:shd w:val="clear" w:color="auto" w:fill="D9D9D9"/>
                </w:tcPr>
                <w:p w14:paraId="1404BADE" w14:textId="77777777" w:rsidR="00652303" w:rsidRPr="001A5017" w:rsidRDefault="00652303" w:rsidP="0061326A">
                  <w:pPr>
                    <w:pStyle w:val="Tekstpodstawowy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80" w:type="dxa"/>
                  <w:shd w:val="clear" w:color="auto" w:fill="D9D9D9"/>
                  <w:vAlign w:val="center"/>
                </w:tcPr>
                <w:p w14:paraId="14818675" w14:textId="77777777" w:rsidR="00652303" w:rsidRPr="001A5017" w:rsidRDefault="00652303" w:rsidP="0061326A">
                  <w:pPr>
                    <w:pStyle w:val="Tekstpodstawowy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 xml:space="preserve">Wymagania dotyczące aparatu do </w:t>
                  </w:r>
                  <w:proofErr w:type="spellStart"/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barwień</w:t>
                  </w:r>
                  <w:proofErr w:type="spellEnd"/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 xml:space="preserve"> histochemicznych</w:t>
                  </w:r>
                </w:p>
              </w:tc>
              <w:tc>
                <w:tcPr>
                  <w:tcW w:w="916" w:type="dxa"/>
                  <w:shd w:val="clear" w:color="auto" w:fill="D9D9D9"/>
                  <w:vAlign w:val="center"/>
                </w:tcPr>
                <w:p w14:paraId="480FE5A2" w14:textId="77777777" w:rsidR="00652303" w:rsidRPr="001A5017" w:rsidRDefault="00652303" w:rsidP="0061326A">
                  <w:pPr>
                    <w:pStyle w:val="Tekstpodstawowy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Wymóg</w:t>
                  </w:r>
                </w:p>
              </w:tc>
              <w:tc>
                <w:tcPr>
                  <w:tcW w:w="1686" w:type="dxa"/>
                  <w:shd w:val="clear" w:color="auto" w:fill="D9D9D9"/>
                  <w:vAlign w:val="center"/>
                </w:tcPr>
                <w:p w14:paraId="24E95B5C" w14:textId="77777777" w:rsidR="00652303" w:rsidRPr="001A5017" w:rsidRDefault="00652303" w:rsidP="0061326A">
                  <w:pPr>
                    <w:pStyle w:val="Tekstpodstawowy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 xml:space="preserve">Odpowiedź wykonawcy </w:t>
                  </w: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br/>
                    <w:t xml:space="preserve">TAK/NIE </w:t>
                  </w: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br/>
                    <w:t>oraz oferowane parametry</w:t>
                  </w:r>
                </w:p>
              </w:tc>
            </w:tr>
            <w:tr w:rsidR="00652303" w:rsidRPr="006240D1" w14:paraId="1E0D48AA" w14:textId="77777777" w:rsidTr="0061326A">
              <w:trPr>
                <w:cantSplit/>
                <w:trHeight w:val="928"/>
              </w:trPr>
              <w:tc>
                <w:tcPr>
                  <w:tcW w:w="509" w:type="dxa"/>
                </w:tcPr>
                <w:p w14:paraId="0BDFB9BF" w14:textId="77777777" w:rsidR="00652303" w:rsidRPr="001A5017" w:rsidRDefault="00652303" w:rsidP="0061326A">
                  <w:pPr>
                    <w:pStyle w:val="Tekstpodstawowy"/>
                    <w:spacing w:line="360" w:lineRule="auto"/>
                    <w:ind w:left="66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562" w:type="dxa"/>
                </w:tcPr>
                <w:p w14:paraId="20E58637" w14:textId="77777777" w:rsidR="00652303" w:rsidRPr="001A5017" w:rsidRDefault="00652303" w:rsidP="0061326A">
                  <w:pPr>
                    <w:pStyle w:val="Tekstpodstawowy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80" w:type="dxa"/>
                </w:tcPr>
                <w:p w14:paraId="205ABDCE" w14:textId="20EC8008" w:rsidR="00652303" w:rsidRPr="001A5017" w:rsidRDefault="00BB20D6" w:rsidP="0061326A">
                  <w:pPr>
                    <w:pStyle w:val="Tekstpodstawowy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Wykonawca</w:t>
                  </w:r>
                  <w:r w:rsidR="00652303" w:rsidRPr="001A5017">
                    <w:rPr>
                      <w:rFonts w:ascii="Calibri" w:hAnsi="Calibri" w:cs="Arial"/>
                      <w:sz w:val="22"/>
                      <w:szCs w:val="22"/>
                    </w:rPr>
                    <w:t xml:space="preserve"> jest oficjalnym/dystrybutorem/partnerem/przedstawicielem na Polskę firm produkujących oferowany sprzęt i odczynniki.</w:t>
                  </w:r>
                </w:p>
                <w:p w14:paraId="543048CC" w14:textId="77777777" w:rsidR="00652303" w:rsidRPr="001A5017" w:rsidRDefault="00652303" w:rsidP="0061326A">
                  <w:pPr>
                    <w:pStyle w:val="Tekstpodstawowy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6" w:type="dxa"/>
                  <w:vAlign w:val="center"/>
                </w:tcPr>
                <w:p w14:paraId="5B65A674" w14:textId="77777777" w:rsidR="00652303" w:rsidRPr="001A5017" w:rsidRDefault="00652303" w:rsidP="0061326A">
                  <w:pPr>
                    <w:pStyle w:val="Tekstpodstawowy"/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686" w:type="dxa"/>
                </w:tcPr>
                <w:p w14:paraId="65AFA301" w14:textId="77777777" w:rsidR="00652303" w:rsidRPr="001A5017" w:rsidRDefault="00652303" w:rsidP="0061326A">
                  <w:pPr>
                    <w:pStyle w:val="Tekstpodstawowy"/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2303" w:rsidRPr="006240D1" w14:paraId="027730B9" w14:textId="77777777" w:rsidTr="0061326A">
              <w:trPr>
                <w:cantSplit/>
                <w:trHeight w:val="846"/>
              </w:trPr>
              <w:tc>
                <w:tcPr>
                  <w:tcW w:w="509" w:type="dxa"/>
                </w:tcPr>
                <w:p w14:paraId="7EA9596D" w14:textId="77777777" w:rsidR="00652303" w:rsidRPr="001A5017" w:rsidRDefault="00652303" w:rsidP="0061326A">
                  <w:pPr>
                    <w:pStyle w:val="Tekstpodstawowy"/>
                    <w:spacing w:line="360" w:lineRule="auto"/>
                    <w:ind w:left="66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562" w:type="dxa"/>
                </w:tcPr>
                <w:p w14:paraId="41D8A93A" w14:textId="77777777" w:rsidR="00652303" w:rsidRPr="001A5017" w:rsidRDefault="00652303" w:rsidP="0061326A">
                  <w:pPr>
                    <w:pStyle w:val="Tekstpodstawowy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80" w:type="dxa"/>
                </w:tcPr>
                <w:p w14:paraId="2FE0EF03" w14:textId="77777777" w:rsidR="00652303" w:rsidRPr="001A5017" w:rsidRDefault="00652303" w:rsidP="0061326A">
                  <w:pPr>
                    <w:pStyle w:val="Tekstpodstawowy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 xml:space="preserve">Oferowany sprzęt użytkowany jest w patomorfologicznych procedurach diagnostycznych na terenie Polski </w:t>
                  </w:r>
                </w:p>
              </w:tc>
              <w:tc>
                <w:tcPr>
                  <w:tcW w:w="916" w:type="dxa"/>
                  <w:vAlign w:val="center"/>
                </w:tcPr>
                <w:p w14:paraId="633E10DE" w14:textId="77777777" w:rsidR="00652303" w:rsidRPr="001A5017" w:rsidRDefault="00652303" w:rsidP="0061326A">
                  <w:pPr>
                    <w:pStyle w:val="Tekstpodstawowy"/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686" w:type="dxa"/>
                </w:tcPr>
                <w:p w14:paraId="5F19F920" w14:textId="77777777" w:rsidR="00652303" w:rsidRPr="001A5017" w:rsidRDefault="00652303" w:rsidP="0061326A">
                  <w:pPr>
                    <w:pStyle w:val="Tekstpodstawowy"/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2303" w:rsidRPr="006240D1" w14:paraId="025F6A25" w14:textId="77777777" w:rsidTr="0061326A">
              <w:trPr>
                <w:cantSplit/>
                <w:trHeight w:val="379"/>
              </w:trPr>
              <w:tc>
                <w:tcPr>
                  <w:tcW w:w="509" w:type="dxa"/>
                </w:tcPr>
                <w:p w14:paraId="3194D27E" w14:textId="77777777" w:rsidR="00652303" w:rsidRPr="001A5017" w:rsidRDefault="00652303" w:rsidP="0061326A">
                  <w:pPr>
                    <w:pStyle w:val="Tekstpodstawowy"/>
                    <w:spacing w:line="360" w:lineRule="auto"/>
                    <w:ind w:left="66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562" w:type="dxa"/>
                </w:tcPr>
                <w:p w14:paraId="355C08D6" w14:textId="77777777" w:rsidR="00652303" w:rsidRPr="001A5017" w:rsidRDefault="00652303" w:rsidP="0061326A">
                  <w:pPr>
                    <w:pStyle w:val="Tekstpodstawowy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80" w:type="dxa"/>
                </w:tcPr>
                <w:p w14:paraId="26CBDB27" w14:textId="77777777" w:rsidR="00652303" w:rsidRPr="001A5017" w:rsidRDefault="00652303" w:rsidP="0061326A">
                  <w:pPr>
                    <w:pStyle w:val="Tekstpodstawowy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 xml:space="preserve">Aparat z gwarancją pełnej sprawności technicznej (rok produkcji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2022</w:t>
                  </w: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16" w:type="dxa"/>
                  <w:vAlign w:val="center"/>
                </w:tcPr>
                <w:p w14:paraId="75A31FBC" w14:textId="77777777" w:rsidR="00652303" w:rsidRPr="001A5017" w:rsidRDefault="00652303" w:rsidP="0061326A">
                  <w:pPr>
                    <w:pStyle w:val="Tekstpodstawowy"/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686" w:type="dxa"/>
                </w:tcPr>
                <w:p w14:paraId="0E0574D3" w14:textId="77777777" w:rsidR="00652303" w:rsidRPr="001A5017" w:rsidRDefault="00652303" w:rsidP="0061326A">
                  <w:pPr>
                    <w:pStyle w:val="Tekstpodstawowy"/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2303" w:rsidRPr="006240D1" w14:paraId="29D17702" w14:textId="77777777" w:rsidTr="0061326A">
              <w:trPr>
                <w:cantSplit/>
                <w:trHeight w:val="1008"/>
              </w:trPr>
              <w:tc>
                <w:tcPr>
                  <w:tcW w:w="509" w:type="dxa"/>
                </w:tcPr>
                <w:p w14:paraId="2177B65B" w14:textId="77777777" w:rsidR="00652303" w:rsidRPr="001A5017" w:rsidRDefault="00652303" w:rsidP="0061326A">
                  <w:pPr>
                    <w:pStyle w:val="Tekstpodstawowy"/>
                    <w:spacing w:line="360" w:lineRule="auto"/>
                    <w:ind w:left="66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562" w:type="dxa"/>
                </w:tcPr>
                <w:p w14:paraId="089B7B49" w14:textId="77777777" w:rsidR="00652303" w:rsidRPr="001A5017" w:rsidRDefault="00652303" w:rsidP="0061326A">
                  <w:pPr>
                    <w:pStyle w:val="Tekstpodstawowy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80" w:type="dxa"/>
                </w:tcPr>
                <w:p w14:paraId="4FD548CE" w14:textId="77777777" w:rsidR="00652303" w:rsidRPr="001A5017" w:rsidRDefault="00652303" w:rsidP="0061326A">
                  <w:pPr>
                    <w:pStyle w:val="Tekstpodstawowy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Wykonawca zapewnia pełny certyfikowany serwis gwarancyjny w czasie trwania umowy, obejmujący bieżące naprawy i przeglądy aparatu. Czas reakcji serwisu nie dłuższy niż 24 godziny.</w:t>
                  </w:r>
                </w:p>
              </w:tc>
              <w:tc>
                <w:tcPr>
                  <w:tcW w:w="916" w:type="dxa"/>
                  <w:vAlign w:val="center"/>
                </w:tcPr>
                <w:p w14:paraId="4456E3E6" w14:textId="77777777" w:rsidR="00652303" w:rsidRPr="001A5017" w:rsidRDefault="00652303" w:rsidP="0061326A">
                  <w:pPr>
                    <w:pStyle w:val="Tekstpodstawowy"/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686" w:type="dxa"/>
                </w:tcPr>
                <w:p w14:paraId="5471B8F5" w14:textId="77777777" w:rsidR="00652303" w:rsidRPr="001A5017" w:rsidRDefault="00652303" w:rsidP="0061326A">
                  <w:pPr>
                    <w:pStyle w:val="Tekstpodstawowy"/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2303" w:rsidRPr="006240D1" w14:paraId="5CFFA288" w14:textId="77777777" w:rsidTr="0061326A">
              <w:trPr>
                <w:cantSplit/>
                <w:trHeight w:val="804"/>
              </w:trPr>
              <w:tc>
                <w:tcPr>
                  <w:tcW w:w="509" w:type="dxa"/>
                </w:tcPr>
                <w:p w14:paraId="63CF3FB2" w14:textId="77777777" w:rsidR="00652303" w:rsidRPr="001A5017" w:rsidRDefault="00652303" w:rsidP="0061326A">
                  <w:pPr>
                    <w:pStyle w:val="Tekstpodstawowy"/>
                    <w:spacing w:line="360" w:lineRule="auto"/>
                    <w:ind w:left="66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562" w:type="dxa"/>
                </w:tcPr>
                <w:p w14:paraId="20CB83CE" w14:textId="77777777" w:rsidR="00652303" w:rsidRPr="001A5017" w:rsidRDefault="00652303" w:rsidP="0061326A">
                  <w:pPr>
                    <w:pStyle w:val="Tekstpodstawowy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80" w:type="dxa"/>
                </w:tcPr>
                <w:p w14:paraId="3A8C3E24" w14:textId="77777777" w:rsidR="00652303" w:rsidRPr="001A5017" w:rsidRDefault="00652303" w:rsidP="0061326A">
                  <w:pPr>
                    <w:pStyle w:val="Tekstpodstawowy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W przypadku , gdy awaria urządzenia nie zostanie usunięta w ciągu 14 dni, wykonawca jest zobowiązany dostarczyć nowe elementy składowe gwarantujące pełną sprawność diagnostyczną.</w:t>
                  </w:r>
                </w:p>
              </w:tc>
              <w:tc>
                <w:tcPr>
                  <w:tcW w:w="916" w:type="dxa"/>
                  <w:vAlign w:val="center"/>
                </w:tcPr>
                <w:p w14:paraId="3138CFC8" w14:textId="77777777" w:rsidR="00652303" w:rsidRPr="001A5017" w:rsidRDefault="00652303" w:rsidP="0061326A">
                  <w:pPr>
                    <w:pStyle w:val="Tekstpodstawowy"/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686" w:type="dxa"/>
                </w:tcPr>
                <w:p w14:paraId="6B880A4A" w14:textId="77777777" w:rsidR="00652303" w:rsidRPr="001A5017" w:rsidRDefault="00652303" w:rsidP="0061326A">
                  <w:pPr>
                    <w:pStyle w:val="Tekstpodstawowy"/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2303" w:rsidRPr="006240D1" w14:paraId="6097944A" w14:textId="77777777" w:rsidTr="0061326A">
              <w:trPr>
                <w:cantSplit/>
                <w:trHeight w:val="804"/>
              </w:trPr>
              <w:tc>
                <w:tcPr>
                  <w:tcW w:w="509" w:type="dxa"/>
                </w:tcPr>
                <w:p w14:paraId="560B19BD" w14:textId="77777777" w:rsidR="00652303" w:rsidRPr="001A5017" w:rsidRDefault="00652303" w:rsidP="0061326A">
                  <w:pPr>
                    <w:pStyle w:val="Tekstpodstawowy"/>
                    <w:spacing w:line="360" w:lineRule="auto"/>
                    <w:ind w:left="66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562" w:type="dxa"/>
                </w:tcPr>
                <w:p w14:paraId="02E75BCE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180" w:type="dxa"/>
                </w:tcPr>
                <w:p w14:paraId="00B98FC8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Aparat do </w:t>
                  </w:r>
                  <w:proofErr w:type="spellStart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barwień</w:t>
                  </w:r>
                  <w:proofErr w:type="spellEnd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 histochemicznych ma mieć zapewnioną obsługę serwisową przez jedną firmę w trakcie trwania wynajmu</w:t>
                  </w:r>
                </w:p>
                <w:p w14:paraId="69CDA9FF" w14:textId="77777777" w:rsidR="00652303" w:rsidRPr="001A5017" w:rsidRDefault="00652303" w:rsidP="0061326A">
                  <w:pPr>
                    <w:pStyle w:val="Tekstpodstawowy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6" w:type="dxa"/>
                  <w:vAlign w:val="center"/>
                </w:tcPr>
                <w:p w14:paraId="11FF9145" w14:textId="77777777" w:rsidR="00652303" w:rsidRPr="00605CF3" w:rsidRDefault="00652303" w:rsidP="0061326A">
                  <w:pPr>
                    <w:pStyle w:val="Tekstpodstawowy"/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605CF3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686" w:type="dxa"/>
                </w:tcPr>
                <w:p w14:paraId="1474D18C" w14:textId="77777777" w:rsidR="00652303" w:rsidRPr="001A5017" w:rsidRDefault="00652303" w:rsidP="0061326A">
                  <w:pPr>
                    <w:pStyle w:val="Tekstpodstawowy"/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2303" w:rsidRPr="006240D1" w14:paraId="52E68520" w14:textId="77777777" w:rsidTr="0061326A">
              <w:trPr>
                <w:cantSplit/>
                <w:trHeight w:val="804"/>
              </w:trPr>
              <w:tc>
                <w:tcPr>
                  <w:tcW w:w="509" w:type="dxa"/>
                </w:tcPr>
                <w:p w14:paraId="3220D012" w14:textId="77777777" w:rsidR="00652303" w:rsidRPr="001A5017" w:rsidRDefault="00652303" w:rsidP="0061326A">
                  <w:pPr>
                    <w:pStyle w:val="Tekstpodstawowy"/>
                    <w:spacing w:line="360" w:lineRule="auto"/>
                    <w:ind w:left="66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562" w:type="dxa"/>
                </w:tcPr>
                <w:p w14:paraId="2FDB1FAD" w14:textId="77777777" w:rsidR="00652303" w:rsidRPr="001A5017" w:rsidRDefault="00652303" w:rsidP="0061326A">
                  <w:pPr>
                    <w:pStyle w:val="Tekstpodstawowy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80" w:type="dxa"/>
                </w:tcPr>
                <w:p w14:paraId="045B0139" w14:textId="77777777" w:rsidR="00652303" w:rsidRPr="001A5017" w:rsidRDefault="00652303" w:rsidP="0061326A">
                  <w:pPr>
                    <w:pStyle w:val="Tekstpodstawowy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Wykonawca zapewni skuteczne szkolenie personelu przed wdrożeniem aparatu do użytkowania oraz w ciągu trzech pierwszych miesięcy.</w:t>
                  </w:r>
                </w:p>
              </w:tc>
              <w:tc>
                <w:tcPr>
                  <w:tcW w:w="916" w:type="dxa"/>
                  <w:vAlign w:val="center"/>
                </w:tcPr>
                <w:p w14:paraId="324AA539" w14:textId="77777777" w:rsidR="00652303" w:rsidRPr="001A5017" w:rsidRDefault="00652303" w:rsidP="0061326A">
                  <w:pPr>
                    <w:pStyle w:val="Tekstpodstawowy"/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686" w:type="dxa"/>
                </w:tcPr>
                <w:p w14:paraId="74B15A6A" w14:textId="77777777" w:rsidR="00652303" w:rsidRPr="001A5017" w:rsidRDefault="00652303" w:rsidP="0061326A">
                  <w:pPr>
                    <w:pStyle w:val="Tekstpodstawowy"/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2303" w:rsidRPr="006240D1" w14:paraId="35E1F0F2" w14:textId="77777777" w:rsidTr="0061326A">
              <w:trPr>
                <w:cantSplit/>
                <w:trHeight w:val="804"/>
              </w:trPr>
              <w:tc>
                <w:tcPr>
                  <w:tcW w:w="509" w:type="dxa"/>
                </w:tcPr>
                <w:p w14:paraId="708DF6C3" w14:textId="77777777" w:rsidR="00652303" w:rsidRPr="001A5017" w:rsidRDefault="00652303" w:rsidP="0061326A">
                  <w:pPr>
                    <w:pStyle w:val="Tekstpodstawowy"/>
                    <w:spacing w:line="360" w:lineRule="auto"/>
                    <w:ind w:left="66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562" w:type="dxa"/>
                </w:tcPr>
                <w:p w14:paraId="11408463" w14:textId="77777777" w:rsidR="00652303" w:rsidRPr="001A5017" w:rsidRDefault="00652303" w:rsidP="0061326A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5180" w:type="dxa"/>
                  <w:vAlign w:val="center"/>
                </w:tcPr>
                <w:p w14:paraId="73239304" w14:textId="77777777" w:rsidR="00652303" w:rsidRPr="00BB20D6" w:rsidRDefault="00652303" w:rsidP="0061326A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BB20D6">
                    <w:rPr>
                      <w:rFonts w:ascii="Calibri" w:hAnsi="Calibri" w:cs="Arial"/>
                      <w:sz w:val="22"/>
                      <w:szCs w:val="22"/>
                    </w:rPr>
                    <w:t>Instrukcje obsługi urządzeń w języku polskim</w:t>
                  </w:r>
                </w:p>
              </w:tc>
              <w:tc>
                <w:tcPr>
                  <w:tcW w:w="916" w:type="dxa"/>
                  <w:vAlign w:val="center"/>
                </w:tcPr>
                <w:p w14:paraId="36CC047A" w14:textId="77777777" w:rsidR="00652303" w:rsidRPr="001A5017" w:rsidRDefault="00652303" w:rsidP="0061326A">
                  <w:pPr>
                    <w:pStyle w:val="Tekstpodstawowy"/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686" w:type="dxa"/>
                </w:tcPr>
                <w:p w14:paraId="4BD49842" w14:textId="77777777" w:rsidR="00652303" w:rsidRPr="001A5017" w:rsidRDefault="00652303" w:rsidP="0061326A">
                  <w:pPr>
                    <w:pStyle w:val="Tekstpodstawowy"/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2303" w:rsidRPr="006240D1" w14:paraId="76375960" w14:textId="77777777" w:rsidTr="0061326A">
              <w:trPr>
                <w:cantSplit/>
                <w:trHeight w:val="1589"/>
              </w:trPr>
              <w:tc>
                <w:tcPr>
                  <w:tcW w:w="509" w:type="dxa"/>
                </w:tcPr>
                <w:p w14:paraId="37E54D01" w14:textId="77777777" w:rsidR="00652303" w:rsidRPr="001A5017" w:rsidRDefault="00652303" w:rsidP="0061326A">
                  <w:pPr>
                    <w:pStyle w:val="Tekstpodstawowy"/>
                    <w:spacing w:line="360" w:lineRule="auto"/>
                    <w:ind w:left="66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562" w:type="dxa"/>
                </w:tcPr>
                <w:p w14:paraId="72C7F813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180" w:type="dxa"/>
                  <w:vAlign w:val="center"/>
                </w:tcPr>
                <w:p w14:paraId="7C84F380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Aparat do </w:t>
                  </w:r>
                  <w:proofErr w:type="spellStart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barwień</w:t>
                  </w:r>
                  <w:proofErr w:type="spellEnd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 histochemicznych posiada podgrzewanie po skrojeniu preparatu, odparafinowanie i barwienie przy czym odparafinowanie i podgrzewanie po skrojeniu występują jako opcja</w:t>
                  </w:r>
                </w:p>
              </w:tc>
              <w:tc>
                <w:tcPr>
                  <w:tcW w:w="916" w:type="dxa"/>
                  <w:vAlign w:val="center"/>
                </w:tcPr>
                <w:p w14:paraId="137E666C" w14:textId="77777777" w:rsidR="00652303" w:rsidRPr="001A5017" w:rsidRDefault="00652303" w:rsidP="0061326A">
                  <w:pPr>
                    <w:pStyle w:val="Tekstpodstawowy"/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686" w:type="dxa"/>
                </w:tcPr>
                <w:p w14:paraId="732BE684" w14:textId="77777777" w:rsidR="00652303" w:rsidRPr="001A5017" w:rsidRDefault="00652303" w:rsidP="0061326A">
                  <w:pPr>
                    <w:pStyle w:val="Tekstpodstawowy"/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2303" w:rsidRPr="006240D1" w14:paraId="13EC95FA" w14:textId="77777777" w:rsidTr="0061326A">
              <w:trPr>
                <w:cantSplit/>
                <w:trHeight w:val="898"/>
              </w:trPr>
              <w:tc>
                <w:tcPr>
                  <w:tcW w:w="509" w:type="dxa"/>
                </w:tcPr>
                <w:p w14:paraId="446CA8CB" w14:textId="77777777" w:rsidR="00652303" w:rsidRPr="001A5017" w:rsidRDefault="00652303" w:rsidP="0061326A">
                  <w:pPr>
                    <w:pStyle w:val="Tekstpodstawowy"/>
                    <w:spacing w:line="360" w:lineRule="auto"/>
                    <w:ind w:left="66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562" w:type="dxa"/>
                </w:tcPr>
                <w:p w14:paraId="17944366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180" w:type="dxa"/>
                  <w:vAlign w:val="center"/>
                </w:tcPr>
                <w:p w14:paraId="2DEA56C1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31BF0">
                    <w:rPr>
                      <w:rFonts w:ascii="Calibri" w:hAnsi="Calibri"/>
                      <w:sz w:val="22"/>
                      <w:szCs w:val="22"/>
                    </w:rPr>
                    <w:t xml:space="preserve">Aparat do </w:t>
                  </w:r>
                  <w:proofErr w:type="spellStart"/>
                  <w:r w:rsidRPr="00631BF0">
                    <w:rPr>
                      <w:rFonts w:ascii="Calibri" w:hAnsi="Calibri"/>
                      <w:sz w:val="22"/>
                      <w:szCs w:val="22"/>
                    </w:rPr>
                    <w:t>barwień</w:t>
                  </w:r>
                  <w:proofErr w:type="spellEnd"/>
                  <w:r w:rsidRPr="00631BF0">
                    <w:rPr>
                      <w:rFonts w:ascii="Calibri" w:hAnsi="Calibri"/>
                      <w:sz w:val="22"/>
                      <w:szCs w:val="22"/>
                    </w:rPr>
                    <w:t xml:space="preserve"> histochemicznych posiada nie mniej, niż 50 odczynników</w:t>
                  </w:r>
                </w:p>
              </w:tc>
              <w:tc>
                <w:tcPr>
                  <w:tcW w:w="916" w:type="dxa"/>
                  <w:vAlign w:val="center"/>
                </w:tcPr>
                <w:p w14:paraId="120EF485" w14:textId="77777777" w:rsidR="00652303" w:rsidRPr="001A5017" w:rsidRDefault="00652303" w:rsidP="0061326A">
                  <w:pPr>
                    <w:pStyle w:val="Tekstpodstawowy"/>
                    <w:spacing w:line="360" w:lineRule="auto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686" w:type="dxa"/>
                </w:tcPr>
                <w:p w14:paraId="62C753F4" w14:textId="77777777" w:rsidR="00652303" w:rsidRPr="001A5017" w:rsidRDefault="00652303" w:rsidP="0061326A">
                  <w:pPr>
                    <w:pStyle w:val="Tekstpodstawowy"/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2303" w:rsidRPr="006240D1" w14:paraId="377AD07D" w14:textId="77777777" w:rsidTr="0061326A">
              <w:trPr>
                <w:cantSplit/>
                <w:trHeight w:val="654"/>
              </w:trPr>
              <w:tc>
                <w:tcPr>
                  <w:tcW w:w="509" w:type="dxa"/>
                </w:tcPr>
                <w:p w14:paraId="76426598" w14:textId="77777777" w:rsidR="00652303" w:rsidRPr="001A5017" w:rsidRDefault="00652303" w:rsidP="0061326A">
                  <w:pPr>
                    <w:pStyle w:val="Tekstpodstawowy"/>
                    <w:spacing w:line="360" w:lineRule="auto"/>
                    <w:ind w:left="66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1</w:t>
                  </w: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62" w:type="dxa"/>
                </w:tcPr>
                <w:p w14:paraId="6C4066E3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180" w:type="dxa"/>
                  <w:vAlign w:val="center"/>
                </w:tcPr>
                <w:p w14:paraId="7DB7F73D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Aparat do </w:t>
                  </w:r>
                  <w:proofErr w:type="spellStart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barwień</w:t>
                  </w:r>
                  <w:proofErr w:type="spellEnd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 histochemicznych barwi nie mniej, niż 45 preparatów jednocześnie</w:t>
                  </w:r>
                </w:p>
              </w:tc>
              <w:tc>
                <w:tcPr>
                  <w:tcW w:w="916" w:type="dxa"/>
                  <w:vAlign w:val="center"/>
                </w:tcPr>
                <w:p w14:paraId="1594EB34" w14:textId="77777777" w:rsidR="00652303" w:rsidRPr="001A5017" w:rsidRDefault="00652303" w:rsidP="0061326A">
                  <w:pPr>
                    <w:pStyle w:val="Tekstpodstawowy"/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686" w:type="dxa"/>
                </w:tcPr>
                <w:p w14:paraId="0D0FF01A" w14:textId="77777777" w:rsidR="00652303" w:rsidRPr="001A5017" w:rsidRDefault="00652303" w:rsidP="0061326A">
                  <w:pPr>
                    <w:pStyle w:val="Tekstpodstawowy"/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2303" w:rsidRPr="006240D1" w14:paraId="6274D74C" w14:textId="77777777" w:rsidTr="0061326A">
              <w:trPr>
                <w:cantSplit/>
                <w:trHeight w:val="1147"/>
              </w:trPr>
              <w:tc>
                <w:tcPr>
                  <w:tcW w:w="509" w:type="dxa"/>
                </w:tcPr>
                <w:p w14:paraId="7D9D2A57" w14:textId="77777777" w:rsidR="00652303" w:rsidRPr="001A5017" w:rsidRDefault="00652303" w:rsidP="0061326A">
                  <w:pPr>
                    <w:pStyle w:val="Tekstpodstawowy"/>
                    <w:spacing w:line="360" w:lineRule="auto"/>
                    <w:ind w:left="66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lastRenderedPageBreak/>
                    <w:t>1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2</w:t>
                  </w: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62" w:type="dxa"/>
                </w:tcPr>
                <w:p w14:paraId="116E5122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180" w:type="dxa"/>
                  <w:vAlign w:val="center"/>
                </w:tcPr>
                <w:p w14:paraId="502B2CD7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Aparat do </w:t>
                  </w:r>
                  <w:proofErr w:type="spellStart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barwień</w:t>
                  </w:r>
                  <w:proofErr w:type="spellEnd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 histochemicznych ma ka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ż</w:t>
                  </w: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de szkie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ł</w:t>
                  </w: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ko podgrzewane indywidualnie i niezale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ż</w:t>
                  </w: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nie od innych szkie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ł</w:t>
                  </w: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ek, co umożliwia barwienie r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óż</w:t>
                  </w: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nych </w:t>
                  </w:r>
                  <w:proofErr w:type="spellStart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protoko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ł</w:t>
                  </w: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ow</w:t>
                  </w:r>
                  <w:proofErr w:type="spellEnd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 jednocze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ś</w:t>
                  </w: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nie</w:t>
                  </w:r>
                </w:p>
              </w:tc>
              <w:tc>
                <w:tcPr>
                  <w:tcW w:w="916" w:type="dxa"/>
                  <w:vAlign w:val="center"/>
                </w:tcPr>
                <w:p w14:paraId="23640362" w14:textId="77777777" w:rsidR="00652303" w:rsidRPr="001A5017" w:rsidRDefault="00652303" w:rsidP="0061326A">
                  <w:pPr>
                    <w:pStyle w:val="Tekstpodstawowy"/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686" w:type="dxa"/>
                </w:tcPr>
                <w:p w14:paraId="4EE280D2" w14:textId="77777777" w:rsidR="00652303" w:rsidRPr="001A5017" w:rsidRDefault="00652303" w:rsidP="0061326A">
                  <w:pPr>
                    <w:pStyle w:val="Tekstpodstawowy"/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2303" w:rsidRPr="006240D1" w14:paraId="57B32820" w14:textId="77777777" w:rsidTr="0061326A">
              <w:trPr>
                <w:cantSplit/>
                <w:trHeight w:val="1009"/>
              </w:trPr>
              <w:tc>
                <w:tcPr>
                  <w:tcW w:w="509" w:type="dxa"/>
                </w:tcPr>
                <w:p w14:paraId="377464BD" w14:textId="77777777" w:rsidR="00652303" w:rsidRPr="001A5017" w:rsidRDefault="00652303" w:rsidP="0061326A">
                  <w:pPr>
                    <w:pStyle w:val="Tekstpodstawowy"/>
                    <w:spacing w:line="360" w:lineRule="auto"/>
                    <w:ind w:left="66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3</w:t>
                  </w: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62" w:type="dxa"/>
                </w:tcPr>
                <w:p w14:paraId="0749703E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180" w:type="dxa"/>
                  <w:vAlign w:val="center"/>
                </w:tcPr>
                <w:p w14:paraId="2763BC3D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Aparat do </w:t>
                  </w:r>
                  <w:proofErr w:type="spellStart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barwień</w:t>
                  </w:r>
                  <w:proofErr w:type="spellEnd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 histochemicznych barwi jednocze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ś</w:t>
                  </w: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nie nie mniej, ni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ż</w:t>
                  </w: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 10 r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óż</w:t>
                  </w: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nych </w:t>
                  </w:r>
                  <w:proofErr w:type="spellStart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barwień</w:t>
                  </w:r>
                  <w:proofErr w:type="spellEnd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 histochemicznych</w:t>
                  </w:r>
                </w:p>
              </w:tc>
              <w:tc>
                <w:tcPr>
                  <w:tcW w:w="916" w:type="dxa"/>
                  <w:vAlign w:val="center"/>
                </w:tcPr>
                <w:p w14:paraId="38392F1A" w14:textId="77777777" w:rsidR="00652303" w:rsidRPr="001A5017" w:rsidRDefault="00652303" w:rsidP="0061326A">
                  <w:pPr>
                    <w:pStyle w:val="Tekstpodstawowy"/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686" w:type="dxa"/>
                </w:tcPr>
                <w:p w14:paraId="04D0C21B" w14:textId="77777777" w:rsidR="00652303" w:rsidRPr="001A5017" w:rsidRDefault="00652303" w:rsidP="0061326A">
                  <w:pPr>
                    <w:pStyle w:val="Tekstpodstawowy"/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2303" w:rsidRPr="006240D1" w14:paraId="303C0D01" w14:textId="77777777" w:rsidTr="0061326A">
              <w:trPr>
                <w:cantSplit/>
                <w:trHeight w:val="982"/>
              </w:trPr>
              <w:tc>
                <w:tcPr>
                  <w:tcW w:w="509" w:type="dxa"/>
                </w:tcPr>
                <w:p w14:paraId="0F1734CF" w14:textId="77777777" w:rsidR="00652303" w:rsidRPr="001A5017" w:rsidRDefault="00652303" w:rsidP="0061326A">
                  <w:pPr>
                    <w:pStyle w:val="Tekstpodstawowy"/>
                    <w:spacing w:line="360" w:lineRule="auto"/>
                    <w:ind w:left="66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4</w:t>
                  </w: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62" w:type="dxa"/>
                </w:tcPr>
                <w:p w14:paraId="0851B33B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180" w:type="dxa"/>
                  <w:vAlign w:val="center"/>
                </w:tcPr>
                <w:p w14:paraId="4155A398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Aparat do </w:t>
                  </w:r>
                  <w:proofErr w:type="spellStart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barwień</w:t>
                  </w:r>
                  <w:proofErr w:type="spellEnd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 histochemicznych posiada ekran i klawiatur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ę</w:t>
                  </w: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 typu „</w:t>
                  </w:r>
                  <w:proofErr w:type="spellStart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medical</w:t>
                  </w:r>
                  <w:proofErr w:type="spellEnd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grade</w:t>
                  </w:r>
                  <w:proofErr w:type="spellEnd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” chroniący przed zniszczeniem w przypadku zalania</w:t>
                  </w:r>
                </w:p>
              </w:tc>
              <w:tc>
                <w:tcPr>
                  <w:tcW w:w="916" w:type="dxa"/>
                  <w:vAlign w:val="center"/>
                </w:tcPr>
                <w:p w14:paraId="0D71CACD" w14:textId="77777777" w:rsidR="00652303" w:rsidRPr="001A5017" w:rsidRDefault="00652303" w:rsidP="0061326A">
                  <w:pPr>
                    <w:pStyle w:val="Tekstpodstawowy"/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686" w:type="dxa"/>
                </w:tcPr>
                <w:p w14:paraId="617DC003" w14:textId="77777777" w:rsidR="00652303" w:rsidRPr="001A5017" w:rsidRDefault="00652303" w:rsidP="0061326A">
                  <w:pPr>
                    <w:pStyle w:val="Tekstpodstawowy"/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2303" w:rsidRPr="006240D1" w14:paraId="06EC6BA5" w14:textId="77777777" w:rsidTr="0061326A">
              <w:trPr>
                <w:cantSplit/>
                <w:trHeight w:val="1226"/>
              </w:trPr>
              <w:tc>
                <w:tcPr>
                  <w:tcW w:w="509" w:type="dxa"/>
                </w:tcPr>
                <w:p w14:paraId="0ACBB802" w14:textId="77777777" w:rsidR="00652303" w:rsidRPr="001A5017" w:rsidRDefault="00652303" w:rsidP="0061326A">
                  <w:pPr>
                    <w:pStyle w:val="Tekstpodstawowy"/>
                    <w:spacing w:line="360" w:lineRule="auto"/>
                    <w:ind w:left="66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5</w:t>
                  </w: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62" w:type="dxa"/>
                </w:tcPr>
                <w:p w14:paraId="445ED3A2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180" w:type="dxa"/>
                  <w:vAlign w:val="center"/>
                </w:tcPr>
                <w:p w14:paraId="04E9BC75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W Aparacie do </w:t>
                  </w:r>
                  <w:proofErr w:type="spellStart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barwień</w:t>
                  </w:r>
                  <w:proofErr w:type="spellEnd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 histochemicznych program komputerowy obsługujący aparat do </w:t>
                  </w:r>
                  <w:proofErr w:type="spellStart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barwień</w:t>
                  </w:r>
                  <w:proofErr w:type="spellEnd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 histochemicznych może być dostarczony w polskiej wersji językowej na żądanie użytkownika</w:t>
                  </w:r>
                </w:p>
              </w:tc>
              <w:tc>
                <w:tcPr>
                  <w:tcW w:w="916" w:type="dxa"/>
                  <w:vAlign w:val="center"/>
                </w:tcPr>
                <w:p w14:paraId="15EF7660" w14:textId="77777777" w:rsidR="00652303" w:rsidRPr="001A5017" w:rsidRDefault="00652303" w:rsidP="0061326A">
                  <w:pPr>
                    <w:pStyle w:val="Tekstpodstawowy"/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686" w:type="dxa"/>
                </w:tcPr>
                <w:p w14:paraId="1E9CF840" w14:textId="77777777" w:rsidR="00652303" w:rsidRPr="001A5017" w:rsidRDefault="00652303" w:rsidP="0061326A">
                  <w:pPr>
                    <w:pStyle w:val="Tekstpodstawowy"/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2303" w:rsidRPr="006240D1" w14:paraId="22671ECB" w14:textId="77777777" w:rsidTr="0061326A">
              <w:trPr>
                <w:cantSplit/>
                <w:trHeight w:val="1020"/>
              </w:trPr>
              <w:tc>
                <w:tcPr>
                  <w:tcW w:w="509" w:type="dxa"/>
                </w:tcPr>
                <w:p w14:paraId="36EA5BDA" w14:textId="77777777" w:rsidR="00652303" w:rsidRPr="001A5017" w:rsidRDefault="00652303" w:rsidP="0061326A">
                  <w:pPr>
                    <w:pStyle w:val="Tekstpodstawowy"/>
                    <w:spacing w:line="360" w:lineRule="auto"/>
                    <w:ind w:left="66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6</w:t>
                  </w: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62" w:type="dxa"/>
                </w:tcPr>
                <w:p w14:paraId="57D29BE7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180" w:type="dxa"/>
                  <w:vAlign w:val="center"/>
                </w:tcPr>
                <w:p w14:paraId="45B3C15D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Program w aparacie do </w:t>
                  </w:r>
                  <w:proofErr w:type="spellStart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barwień</w:t>
                  </w:r>
                  <w:proofErr w:type="spellEnd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 histochemicznych musi mieć możliwość integracji z systemem laboratoryjnym </w:t>
                  </w:r>
                  <w:proofErr w:type="spellStart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CliniNET</w:t>
                  </w:r>
                  <w:proofErr w:type="spellEnd"/>
                </w:p>
              </w:tc>
              <w:tc>
                <w:tcPr>
                  <w:tcW w:w="916" w:type="dxa"/>
                  <w:vAlign w:val="center"/>
                </w:tcPr>
                <w:p w14:paraId="1C0DDB76" w14:textId="77777777" w:rsidR="00652303" w:rsidRPr="001A5017" w:rsidRDefault="00652303" w:rsidP="0061326A">
                  <w:pPr>
                    <w:pStyle w:val="Tekstpodstawowy"/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686" w:type="dxa"/>
                </w:tcPr>
                <w:p w14:paraId="5AA90D11" w14:textId="77777777" w:rsidR="00652303" w:rsidRPr="001A5017" w:rsidRDefault="00652303" w:rsidP="0061326A">
                  <w:pPr>
                    <w:pStyle w:val="Tekstpodstawowy"/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2303" w:rsidRPr="006240D1" w14:paraId="2CEE0F2D" w14:textId="77777777" w:rsidTr="0061326A">
              <w:trPr>
                <w:cantSplit/>
                <w:trHeight w:val="1405"/>
              </w:trPr>
              <w:tc>
                <w:tcPr>
                  <w:tcW w:w="509" w:type="dxa"/>
                </w:tcPr>
                <w:p w14:paraId="69150E83" w14:textId="77777777" w:rsidR="00652303" w:rsidRPr="001A5017" w:rsidRDefault="00652303" w:rsidP="0061326A">
                  <w:pPr>
                    <w:pStyle w:val="Tekstpodstawowy"/>
                    <w:spacing w:line="360" w:lineRule="auto"/>
                    <w:ind w:left="66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7</w:t>
                  </w: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62" w:type="dxa"/>
                </w:tcPr>
                <w:p w14:paraId="67DA9D57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180" w:type="dxa"/>
                  <w:vAlign w:val="center"/>
                </w:tcPr>
                <w:p w14:paraId="48D30612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W aparacie do </w:t>
                  </w:r>
                  <w:proofErr w:type="spellStart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barwień</w:t>
                  </w:r>
                  <w:proofErr w:type="spellEnd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 histochemicznych barwieniem na </w:t>
                  </w:r>
                  <w:proofErr w:type="spellStart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Helicobacter</w:t>
                  </w:r>
                  <w:proofErr w:type="spellEnd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pylori</w:t>
                  </w:r>
                  <w:proofErr w:type="spellEnd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 ma być srebrzenie </w:t>
                  </w:r>
                  <w:proofErr w:type="spellStart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Warthin</w:t>
                  </w:r>
                  <w:proofErr w:type="spellEnd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Starry</w:t>
                  </w:r>
                  <w:proofErr w:type="spellEnd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, barwienie jednego szkiełka nie dłużej, niż 10 minut</w:t>
                  </w:r>
                </w:p>
              </w:tc>
              <w:tc>
                <w:tcPr>
                  <w:tcW w:w="916" w:type="dxa"/>
                  <w:vAlign w:val="center"/>
                </w:tcPr>
                <w:p w14:paraId="629CB6DB" w14:textId="77777777" w:rsidR="00652303" w:rsidRPr="001A5017" w:rsidRDefault="00652303" w:rsidP="0061326A">
                  <w:pPr>
                    <w:pStyle w:val="Tekstpodstawowy"/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686" w:type="dxa"/>
                </w:tcPr>
                <w:p w14:paraId="311FD2FD" w14:textId="77777777" w:rsidR="00652303" w:rsidRPr="001A5017" w:rsidRDefault="00652303" w:rsidP="0061326A">
                  <w:pPr>
                    <w:pStyle w:val="Tekstpodstawowy"/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2303" w:rsidRPr="006240D1" w14:paraId="4188A2EE" w14:textId="77777777" w:rsidTr="0061326A">
              <w:trPr>
                <w:cantSplit/>
                <w:trHeight w:val="830"/>
              </w:trPr>
              <w:tc>
                <w:tcPr>
                  <w:tcW w:w="509" w:type="dxa"/>
                </w:tcPr>
                <w:p w14:paraId="43C8EDF7" w14:textId="77777777" w:rsidR="00652303" w:rsidRPr="001A5017" w:rsidRDefault="00652303" w:rsidP="0061326A">
                  <w:pPr>
                    <w:pStyle w:val="Tekstpodstawowy"/>
                    <w:spacing w:line="360" w:lineRule="auto"/>
                    <w:ind w:left="66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8</w:t>
                  </w: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62" w:type="dxa"/>
                </w:tcPr>
                <w:p w14:paraId="0E5DF48D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180" w:type="dxa"/>
                  <w:vAlign w:val="center"/>
                </w:tcPr>
                <w:p w14:paraId="457B7434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Aparat do badań histochemicznych musi rozdzielać zlewki na bezpieczne i na niebezpiec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zn</w:t>
                  </w: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e, które trzeba utylizować</w:t>
                  </w:r>
                </w:p>
              </w:tc>
              <w:tc>
                <w:tcPr>
                  <w:tcW w:w="916" w:type="dxa"/>
                  <w:vAlign w:val="center"/>
                </w:tcPr>
                <w:p w14:paraId="2C25C476" w14:textId="77777777" w:rsidR="00652303" w:rsidRPr="001A5017" w:rsidRDefault="00652303" w:rsidP="0061326A">
                  <w:pPr>
                    <w:pStyle w:val="Tekstpodstawowy"/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686" w:type="dxa"/>
                </w:tcPr>
                <w:p w14:paraId="3FEEA6FA" w14:textId="77777777" w:rsidR="00652303" w:rsidRPr="001A5017" w:rsidRDefault="00652303" w:rsidP="0061326A">
                  <w:pPr>
                    <w:pStyle w:val="Tekstpodstawowy"/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2303" w:rsidRPr="006240D1" w14:paraId="147F9F8E" w14:textId="77777777" w:rsidTr="0061326A">
              <w:trPr>
                <w:cantSplit/>
                <w:trHeight w:val="1114"/>
              </w:trPr>
              <w:tc>
                <w:tcPr>
                  <w:tcW w:w="509" w:type="dxa"/>
                </w:tcPr>
                <w:p w14:paraId="31DF63B2" w14:textId="77777777" w:rsidR="00652303" w:rsidRPr="001A5017" w:rsidRDefault="00652303" w:rsidP="0061326A">
                  <w:pPr>
                    <w:pStyle w:val="Tekstpodstawowy"/>
                    <w:spacing w:line="360" w:lineRule="auto"/>
                    <w:ind w:left="66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9</w:t>
                  </w: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62" w:type="dxa"/>
                </w:tcPr>
                <w:p w14:paraId="62007855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180" w:type="dxa"/>
                  <w:vAlign w:val="center"/>
                </w:tcPr>
                <w:p w14:paraId="47153875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Aparat do </w:t>
                  </w:r>
                  <w:proofErr w:type="spellStart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barwień</w:t>
                  </w:r>
                  <w:proofErr w:type="spellEnd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 histochemicznych ma być </w:t>
                  </w:r>
                  <w:proofErr w:type="spellStart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nablatowy</w:t>
                  </w:r>
                  <w:proofErr w:type="spellEnd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 i ma mieć wbudowaną baterię podtrzymującą napięcie (oszczędność miejsca w laboratorium)</w:t>
                  </w:r>
                </w:p>
              </w:tc>
              <w:tc>
                <w:tcPr>
                  <w:tcW w:w="916" w:type="dxa"/>
                  <w:vAlign w:val="center"/>
                </w:tcPr>
                <w:p w14:paraId="1423C9B5" w14:textId="77777777" w:rsidR="00652303" w:rsidRPr="001A5017" w:rsidRDefault="00652303" w:rsidP="0061326A">
                  <w:pPr>
                    <w:pStyle w:val="Tekstpodstawowy"/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686" w:type="dxa"/>
                </w:tcPr>
                <w:p w14:paraId="3BFDD921" w14:textId="77777777" w:rsidR="00652303" w:rsidRPr="001A5017" w:rsidRDefault="00652303" w:rsidP="0061326A">
                  <w:pPr>
                    <w:pStyle w:val="Tekstpodstawowy"/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2303" w:rsidRPr="006240D1" w14:paraId="1EFFA437" w14:textId="77777777" w:rsidTr="0061326A">
              <w:trPr>
                <w:cantSplit/>
                <w:trHeight w:val="835"/>
              </w:trPr>
              <w:tc>
                <w:tcPr>
                  <w:tcW w:w="509" w:type="dxa"/>
                </w:tcPr>
                <w:p w14:paraId="7F18D8E2" w14:textId="77777777" w:rsidR="00652303" w:rsidRPr="001A5017" w:rsidRDefault="00652303" w:rsidP="0061326A">
                  <w:pPr>
                    <w:pStyle w:val="Tekstpodstawowy"/>
                    <w:spacing w:line="360" w:lineRule="auto"/>
                    <w:ind w:left="66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20</w:t>
                  </w: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62" w:type="dxa"/>
                </w:tcPr>
                <w:p w14:paraId="77454F2F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180" w:type="dxa"/>
                  <w:vAlign w:val="center"/>
                </w:tcPr>
                <w:p w14:paraId="38FBAC4B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Aparat do </w:t>
                  </w:r>
                  <w:proofErr w:type="spellStart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>barwień</w:t>
                  </w:r>
                  <w:proofErr w:type="spellEnd"/>
                  <w:r w:rsidRPr="001A5017">
                    <w:rPr>
                      <w:rFonts w:ascii="Calibri" w:hAnsi="Calibri"/>
                      <w:sz w:val="22"/>
                      <w:szCs w:val="22"/>
                    </w:rPr>
                    <w:t xml:space="preserve"> histochemicznych może być nastawiony na noc</w:t>
                  </w:r>
                </w:p>
              </w:tc>
              <w:tc>
                <w:tcPr>
                  <w:tcW w:w="916" w:type="dxa"/>
                  <w:vAlign w:val="center"/>
                </w:tcPr>
                <w:p w14:paraId="2A0D9A94" w14:textId="77777777" w:rsidR="00652303" w:rsidRPr="001A5017" w:rsidRDefault="00652303" w:rsidP="0061326A">
                  <w:pPr>
                    <w:pStyle w:val="Tekstpodstawowy"/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A5017">
                    <w:rPr>
                      <w:rFonts w:ascii="Calibri" w:hAnsi="Calibri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686" w:type="dxa"/>
                </w:tcPr>
                <w:p w14:paraId="66EFF7BB" w14:textId="77777777" w:rsidR="00652303" w:rsidRPr="001A5017" w:rsidRDefault="00652303" w:rsidP="0061326A">
                  <w:pPr>
                    <w:pStyle w:val="Tekstpodstawowy"/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2303" w:rsidRPr="006240D1" w14:paraId="27C68037" w14:textId="77777777" w:rsidTr="0061326A">
              <w:trPr>
                <w:cantSplit/>
                <w:trHeight w:val="835"/>
              </w:trPr>
              <w:tc>
                <w:tcPr>
                  <w:tcW w:w="509" w:type="dxa"/>
                </w:tcPr>
                <w:p w14:paraId="504B9F4E" w14:textId="77777777" w:rsidR="00652303" w:rsidRDefault="00652303" w:rsidP="0061326A">
                  <w:pPr>
                    <w:pStyle w:val="Tekstpodstawowy"/>
                    <w:spacing w:line="360" w:lineRule="auto"/>
                    <w:ind w:left="66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1562" w:type="dxa"/>
                </w:tcPr>
                <w:p w14:paraId="002B5E90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180" w:type="dxa"/>
                </w:tcPr>
                <w:p w14:paraId="1AD76B05" w14:textId="77777777" w:rsidR="00652303" w:rsidRPr="00605CF3" w:rsidRDefault="00652303" w:rsidP="0061326A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 w:rsidRPr="00605CF3">
                    <w:rPr>
                      <w:sz w:val="24"/>
                      <w:szCs w:val="24"/>
                    </w:rPr>
                    <w:t>Aparat posiada deklarację CE IVD</w:t>
                  </w:r>
                  <w:r w:rsidRPr="00605CF3">
                    <w:rPr>
                      <w:color w:val="000000"/>
                      <w:sz w:val="24"/>
                      <w:szCs w:val="24"/>
                    </w:rPr>
                    <w:t xml:space="preserve"> lub jest zgodn</w:t>
                  </w:r>
                  <w:r>
                    <w:rPr>
                      <w:color w:val="000000"/>
                      <w:sz w:val="24"/>
                      <w:szCs w:val="24"/>
                    </w:rPr>
                    <w:t>y</w:t>
                  </w:r>
                  <w:r w:rsidRPr="00605CF3">
                    <w:rPr>
                      <w:color w:val="000000"/>
                      <w:sz w:val="24"/>
                      <w:szCs w:val="24"/>
                    </w:rPr>
                    <w:t xml:space="preserve"> z IVDR jeśli wyprodukowan</w:t>
                  </w:r>
                  <w:r>
                    <w:rPr>
                      <w:color w:val="000000"/>
                      <w:sz w:val="24"/>
                      <w:szCs w:val="24"/>
                    </w:rPr>
                    <w:t>y</w:t>
                  </w:r>
                  <w:r w:rsidRPr="00605CF3">
                    <w:rPr>
                      <w:color w:val="000000"/>
                      <w:sz w:val="24"/>
                      <w:szCs w:val="24"/>
                    </w:rPr>
                    <w:t xml:space="preserve"> po 26 maja 2022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r.</w:t>
                  </w:r>
                </w:p>
              </w:tc>
              <w:tc>
                <w:tcPr>
                  <w:tcW w:w="916" w:type="dxa"/>
                  <w:vAlign w:val="center"/>
                </w:tcPr>
                <w:p w14:paraId="553154D7" w14:textId="77777777" w:rsidR="00652303" w:rsidRPr="001A5017" w:rsidRDefault="00652303" w:rsidP="0061326A">
                  <w:pPr>
                    <w:pStyle w:val="Tekstpodstawowy"/>
                    <w:spacing w:line="360" w:lineRule="auto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686" w:type="dxa"/>
                </w:tcPr>
                <w:p w14:paraId="6090A2E8" w14:textId="77777777" w:rsidR="00652303" w:rsidRPr="001A5017" w:rsidRDefault="00652303" w:rsidP="0061326A">
                  <w:pPr>
                    <w:pStyle w:val="Tekstpodstawowy"/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2303" w:rsidRPr="006240D1" w14:paraId="58AA03F4" w14:textId="77777777" w:rsidTr="0061326A">
              <w:trPr>
                <w:cantSplit/>
                <w:trHeight w:val="835"/>
              </w:trPr>
              <w:tc>
                <w:tcPr>
                  <w:tcW w:w="509" w:type="dxa"/>
                </w:tcPr>
                <w:p w14:paraId="053180F8" w14:textId="77777777" w:rsidR="00652303" w:rsidRDefault="00652303" w:rsidP="0061326A">
                  <w:pPr>
                    <w:pStyle w:val="Tekstpodstawowy"/>
                    <w:spacing w:line="360" w:lineRule="auto"/>
                    <w:ind w:left="66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1562" w:type="dxa"/>
                </w:tcPr>
                <w:p w14:paraId="572D6C67" w14:textId="77777777" w:rsidR="00652303" w:rsidRPr="001A5017" w:rsidRDefault="00652303" w:rsidP="0061326A">
                  <w:pPr>
                    <w:pStyle w:val="Akapitzlis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180" w:type="dxa"/>
                </w:tcPr>
                <w:p w14:paraId="04A4A21C" w14:textId="68134EC4" w:rsidR="00652303" w:rsidRPr="00605CF3" w:rsidRDefault="00652303" w:rsidP="0061326A">
                  <w:pPr>
                    <w:pStyle w:val="Akapitzlis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Termin dostawy urządzenia – </w:t>
                  </w:r>
                  <w:r w:rsidR="00BB20D6">
                    <w:rPr>
                      <w:sz w:val="24"/>
                      <w:szCs w:val="24"/>
                    </w:rPr>
                    <w:t>14 dni od daty podpisania umowy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16" w:type="dxa"/>
                  <w:vAlign w:val="center"/>
                </w:tcPr>
                <w:p w14:paraId="3AEBB4DC" w14:textId="77777777" w:rsidR="00652303" w:rsidRDefault="00652303" w:rsidP="0061326A">
                  <w:pPr>
                    <w:pStyle w:val="Tekstpodstawowy"/>
                    <w:spacing w:line="360" w:lineRule="auto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686" w:type="dxa"/>
                </w:tcPr>
                <w:p w14:paraId="7F862799" w14:textId="77777777" w:rsidR="00652303" w:rsidRPr="001A5017" w:rsidRDefault="00652303" w:rsidP="0061326A">
                  <w:pPr>
                    <w:pStyle w:val="Tekstpodstawowy"/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D668CB9" w14:textId="77777777" w:rsidR="00652303" w:rsidRDefault="00652303" w:rsidP="0061326A">
            <w:pPr>
              <w:tabs>
                <w:tab w:val="left" w:pos="268"/>
              </w:tabs>
              <w:rPr>
                <w:b/>
                <w:bCs/>
              </w:rPr>
            </w:pPr>
          </w:p>
          <w:p w14:paraId="323149F5" w14:textId="77777777" w:rsidR="00652303" w:rsidRDefault="00652303" w:rsidP="0061326A">
            <w:pPr>
              <w:tabs>
                <w:tab w:val="left" w:pos="268"/>
              </w:tabs>
              <w:rPr>
                <w:b/>
                <w:bCs/>
              </w:rPr>
            </w:pPr>
          </w:p>
          <w:p w14:paraId="27EF110D" w14:textId="77777777" w:rsidR="00652303" w:rsidRDefault="00652303" w:rsidP="0061326A">
            <w:pPr>
              <w:tabs>
                <w:tab w:val="left" w:pos="268"/>
              </w:tabs>
              <w:rPr>
                <w:b/>
                <w:bCs/>
              </w:rPr>
            </w:pPr>
          </w:p>
          <w:p w14:paraId="196DD96C" w14:textId="77777777" w:rsidR="00652303" w:rsidRPr="00F57F28" w:rsidRDefault="00652303" w:rsidP="0061326A">
            <w:pPr>
              <w:tabs>
                <w:tab w:val="left" w:pos="268"/>
              </w:tabs>
              <w:rPr>
                <w:b/>
                <w:bCs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AB278" w14:textId="77777777" w:rsidR="00652303" w:rsidRPr="00F57F28" w:rsidRDefault="00652303" w:rsidP="0061326A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D5BD8" w14:textId="77777777" w:rsidR="00652303" w:rsidRPr="00F57F28" w:rsidRDefault="00652303" w:rsidP="0061326A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9346D" w14:textId="77777777" w:rsidR="00652303" w:rsidRPr="00F57F28" w:rsidRDefault="00652303" w:rsidP="0061326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D13F7" w14:textId="77777777" w:rsidR="00652303" w:rsidRPr="00F57F28" w:rsidRDefault="00652303" w:rsidP="0061326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3A075" w14:textId="77777777" w:rsidR="00652303" w:rsidRPr="00F57F28" w:rsidRDefault="00652303" w:rsidP="0061326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F650D" w14:textId="77777777" w:rsidR="00652303" w:rsidRPr="00F57F28" w:rsidRDefault="00652303" w:rsidP="0061326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459B5" w14:textId="77777777" w:rsidR="00652303" w:rsidRPr="00F57F28" w:rsidRDefault="00652303" w:rsidP="0061326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25CDF" w14:textId="77777777" w:rsidR="00652303" w:rsidRPr="00F57F28" w:rsidRDefault="00652303" w:rsidP="0061326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1864A" w14:textId="77777777" w:rsidR="00652303" w:rsidRPr="00F57F28" w:rsidRDefault="00652303" w:rsidP="0061326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9B653" w14:textId="77777777" w:rsidR="00652303" w:rsidRPr="00F57F28" w:rsidRDefault="00652303" w:rsidP="0061326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46824" w14:textId="77777777" w:rsidR="00652303" w:rsidRPr="00F57F28" w:rsidRDefault="00652303" w:rsidP="0061326A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C0CB0" w14:textId="77777777" w:rsidR="00652303" w:rsidRPr="00F57F28" w:rsidRDefault="00652303" w:rsidP="0061326A"/>
        </w:tc>
      </w:tr>
    </w:tbl>
    <w:p w14:paraId="10E453F8" w14:textId="77777777" w:rsidR="00ED1711" w:rsidRDefault="00ED1711"/>
    <w:sectPr w:rsidR="00ED1711" w:rsidSect="000B3BC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052BD" w14:textId="77777777" w:rsidR="00630DBB" w:rsidRDefault="00630DBB" w:rsidP="00652303">
      <w:r>
        <w:separator/>
      </w:r>
    </w:p>
  </w:endnote>
  <w:endnote w:type="continuationSeparator" w:id="0">
    <w:p w14:paraId="34EFB752" w14:textId="77777777" w:rsidR="00630DBB" w:rsidRDefault="00630DBB" w:rsidP="0065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698C9" w14:textId="77777777" w:rsidR="00630DBB" w:rsidRDefault="00630DBB" w:rsidP="00652303">
      <w:r>
        <w:separator/>
      </w:r>
    </w:p>
  </w:footnote>
  <w:footnote w:type="continuationSeparator" w:id="0">
    <w:p w14:paraId="5E5D3186" w14:textId="77777777" w:rsidR="00630DBB" w:rsidRDefault="00630DBB" w:rsidP="0065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4F54F" w14:textId="77777777" w:rsidR="00652303" w:rsidRDefault="00652303" w:rsidP="00652303">
    <w:pPr>
      <w:pStyle w:val="Nagwek5"/>
      <w:spacing w:line="240" w:lineRule="auto"/>
      <w:ind w:firstLine="0"/>
      <w:rPr>
        <w:rFonts w:ascii="Arial Narrow" w:hAnsi="Arial Narrow" w:cs="Arial"/>
        <w:bCs/>
        <w:i/>
        <w:color w:val="000000"/>
        <w:sz w:val="19"/>
        <w:szCs w:val="19"/>
      </w:rPr>
    </w:pPr>
    <w:r w:rsidRPr="00F82AC5">
      <w:rPr>
        <w:rFonts w:ascii="Arial Narrow" w:hAnsi="Arial Narrow" w:cs="Arial"/>
        <w:bCs/>
        <w:i/>
        <w:color w:val="000000"/>
        <w:sz w:val="19"/>
        <w:szCs w:val="19"/>
      </w:rPr>
      <w:t>Załącznik nr 2</w:t>
    </w:r>
    <w:r>
      <w:rPr>
        <w:rFonts w:ascii="Arial Narrow" w:hAnsi="Arial Narrow" w:cs="Arial"/>
        <w:bCs/>
        <w:i/>
        <w:color w:val="000000"/>
        <w:sz w:val="19"/>
        <w:szCs w:val="19"/>
      </w:rPr>
      <w:t>A</w:t>
    </w:r>
    <w:r w:rsidRPr="00F82AC5">
      <w:rPr>
        <w:rFonts w:ascii="Arial Narrow" w:hAnsi="Arial Narrow" w:cs="Arial"/>
        <w:bCs/>
        <w:i/>
        <w:color w:val="000000"/>
        <w:sz w:val="19"/>
        <w:szCs w:val="19"/>
      </w:rPr>
      <w:t xml:space="preserve"> do SWZ</w:t>
    </w:r>
  </w:p>
  <w:p w14:paraId="5233B822" w14:textId="77777777" w:rsidR="00652303" w:rsidRDefault="00652303" w:rsidP="00652303">
    <w:pPr>
      <w:pStyle w:val="Nagwek5"/>
      <w:spacing w:line="240" w:lineRule="auto"/>
      <w:ind w:firstLine="0"/>
      <w:rPr>
        <w:b w:val="0"/>
        <w:sz w:val="24"/>
      </w:rPr>
    </w:pPr>
  </w:p>
  <w:p w14:paraId="252BC180" w14:textId="77777777" w:rsidR="00652303" w:rsidRPr="00B42DA3" w:rsidRDefault="00652303" w:rsidP="00652303">
    <w:pPr>
      <w:pStyle w:val="Nagwek5"/>
      <w:spacing w:line="240" w:lineRule="auto"/>
      <w:ind w:firstLine="0"/>
      <w:rPr>
        <w:rFonts w:ascii="Arial Narrow" w:hAnsi="Arial Narrow"/>
        <w:b w:val="0"/>
        <w:color w:val="000000"/>
        <w:sz w:val="19"/>
        <w:szCs w:val="19"/>
      </w:rPr>
    </w:pPr>
    <w:r w:rsidRPr="00B42DA3">
      <w:rPr>
        <w:rFonts w:ascii="Arial Narrow" w:hAnsi="Arial Narrow"/>
        <w:b w:val="0"/>
        <w:color w:val="000000"/>
        <w:sz w:val="19"/>
        <w:szCs w:val="19"/>
      </w:rPr>
      <w:t>.................................................................................</w:t>
    </w:r>
  </w:p>
  <w:p w14:paraId="1AAB1A7A" w14:textId="77777777" w:rsidR="00652303" w:rsidRPr="00B42DA3" w:rsidRDefault="00652303" w:rsidP="00652303">
    <w:pPr>
      <w:pStyle w:val="Nagwek2"/>
      <w:jc w:val="right"/>
      <w:rPr>
        <w:rFonts w:ascii="Arial Narrow" w:hAnsi="Arial Narrow" w:cs="Arial"/>
        <w:bCs/>
        <w:sz w:val="20"/>
        <w:szCs w:val="20"/>
      </w:rPr>
    </w:pPr>
    <w:r w:rsidRPr="00B42DA3">
      <w:rPr>
        <w:rFonts w:ascii="Arial Narrow" w:hAnsi="Arial Narrow" w:cs="Arial"/>
        <w:bCs/>
        <w:color w:val="000000"/>
        <w:sz w:val="19"/>
        <w:szCs w:val="19"/>
      </w:rPr>
      <w:t xml:space="preserve">    </w:t>
    </w:r>
    <w:r w:rsidRPr="0035251B">
      <w:rPr>
        <w:rFonts w:ascii="Arial Narrow" w:hAnsi="Arial Narrow" w:cs="Arial"/>
        <w:bCs/>
        <w:color w:val="000000"/>
        <w:sz w:val="18"/>
        <w:szCs w:val="18"/>
      </w:rPr>
      <w:t>Pieczęć firmowa Wykonawcy</w:t>
    </w:r>
    <w:r>
      <w:rPr>
        <w:rFonts w:ascii="Arial Narrow" w:hAnsi="Arial Narrow" w:cs="Arial"/>
        <w:bCs/>
        <w:color w:val="000000"/>
        <w:sz w:val="19"/>
        <w:szCs w:val="19"/>
      </w:rPr>
      <w:tab/>
    </w:r>
    <w:r>
      <w:rPr>
        <w:rFonts w:ascii="Arial Narrow" w:hAnsi="Arial Narrow" w:cs="Arial"/>
        <w:bCs/>
        <w:color w:val="000000"/>
        <w:sz w:val="19"/>
        <w:szCs w:val="19"/>
      </w:rPr>
      <w:tab/>
    </w:r>
    <w:r>
      <w:rPr>
        <w:rFonts w:ascii="Arial Narrow" w:hAnsi="Arial Narrow" w:cs="Arial"/>
        <w:bCs/>
        <w:color w:val="000000"/>
        <w:sz w:val="19"/>
        <w:szCs w:val="19"/>
      </w:rPr>
      <w:tab/>
    </w:r>
    <w:r w:rsidRPr="00B42DA3">
      <w:rPr>
        <w:rFonts w:ascii="Arial Narrow" w:hAnsi="Arial Narrow" w:cs="Arial"/>
        <w:bCs/>
        <w:color w:val="000000"/>
        <w:sz w:val="19"/>
        <w:szCs w:val="19"/>
      </w:rPr>
      <w:t xml:space="preserve"> </w:t>
    </w:r>
    <w:r w:rsidRPr="00B42DA3">
      <w:rPr>
        <w:rFonts w:ascii="Arial Narrow" w:hAnsi="Arial Narrow" w:cs="Arial"/>
        <w:bCs/>
        <w:sz w:val="20"/>
        <w:szCs w:val="20"/>
      </w:rPr>
      <w:t xml:space="preserve">Świętokrzyskie Centrum Onkologii, 25-734 Kielce, ul. </w:t>
    </w:r>
    <w:proofErr w:type="spellStart"/>
    <w:r w:rsidRPr="00B42DA3">
      <w:rPr>
        <w:rFonts w:ascii="Arial Narrow" w:hAnsi="Arial Narrow" w:cs="Arial"/>
        <w:bCs/>
        <w:sz w:val="20"/>
        <w:szCs w:val="20"/>
      </w:rPr>
      <w:t>Artwińskiego</w:t>
    </w:r>
    <w:proofErr w:type="spellEnd"/>
    <w:r w:rsidRPr="00B42DA3">
      <w:rPr>
        <w:rFonts w:ascii="Arial Narrow" w:hAnsi="Arial Narrow" w:cs="Arial"/>
        <w:bCs/>
        <w:sz w:val="20"/>
        <w:szCs w:val="20"/>
      </w:rPr>
      <w:t xml:space="preserve"> 3</w:t>
    </w:r>
  </w:p>
  <w:p w14:paraId="31237F08" w14:textId="77777777" w:rsidR="00652303" w:rsidRDefault="00652303" w:rsidP="00652303">
    <w:pPr>
      <w:pStyle w:val="Tekstpodstawowy"/>
      <w:jc w:val="center"/>
      <w:rPr>
        <w:rFonts w:ascii="Arial Narrow" w:hAnsi="Arial Narrow" w:cs="Arial"/>
        <w:b/>
        <w:sz w:val="22"/>
        <w:szCs w:val="22"/>
      </w:rPr>
    </w:pPr>
  </w:p>
  <w:p w14:paraId="39CD1F09" w14:textId="77777777" w:rsidR="00652303" w:rsidRDefault="00652303" w:rsidP="00652303">
    <w:pPr>
      <w:pStyle w:val="Tekstpodstawowy"/>
      <w:ind w:left="2160" w:hanging="2160"/>
      <w:jc w:val="center"/>
    </w:pPr>
    <w:r w:rsidRPr="00B42DA3">
      <w:rPr>
        <w:rFonts w:ascii="Arial Narrow" w:hAnsi="Arial Narrow" w:cs="Arial"/>
        <w:b/>
        <w:sz w:val="22"/>
        <w:szCs w:val="22"/>
      </w:rPr>
      <w:t xml:space="preserve">Przedmiot zamówienia: </w:t>
    </w:r>
    <w:r>
      <w:rPr>
        <w:rFonts w:ascii="Arial Narrow" w:hAnsi="Arial Narrow" w:cs="Arial"/>
        <w:b/>
        <w:sz w:val="22"/>
        <w:szCs w:val="22"/>
      </w:rPr>
      <w:t xml:space="preserve">  </w:t>
    </w:r>
    <w:r w:rsidRPr="003C6030">
      <w:rPr>
        <w:rFonts w:ascii="Arial Narrow" w:hAnsi="Arial Narrow" w:cs="Arial"/>
        <w:b/>
        <w:sz w:val="22"/>
        <w:szCs w:val="22"/>
        <w:u w:val="single"/>
      </w:rPr>
      <w:t xml:space="preserve">Dzierżawa </w:t>
    </w:r>
    <w:r>
      <w:rPr>
        <w:rFonts w:ascii="Arial Narrow" w:hAnsi="Arial Narrow" w:cs="Arial"/>
        <w:b/>
        <w:sz w:val="22"/>
        <w:szCs w:val="22"/>
        <w:u w:val="single"/>
      </w:rPr>
      <w:t xml:space="preserve">aparatu do </w:t>
    </w:r>
    <w:proofErr w:type="spellStart"/>
    <w:r>
      <w:rPr>
        <w:rFonts w:ascii="Arial Narrow" w:hAnsi="Arial Narrow" w:cs="Arial"/>
        <w:b/>
        <w:sz w:val="22"/>
        <w:szCs w:val="22"/>
        <w:u w:val="single"/>
      </w:rPr>
      <w:t>barwień</w:t>
    </w:r>
    <w:proofErr w:type="spellEnd"/>
    <w:r>
      <w:rPr>
        <w:rFonts w:ascii="Arial Narrow" w:hAnsi="Arial Narrow" w:cs="Arial"/>
        <w:b/>
        <w:sz w:val="22"/>
        <w:szCs w:val="22"/>
        <w:u w:val="single"/>
      </w:rPr>
      <w:t xml:space="preserve"> histochemicznych wraz z odczynnikami.</w:t>
    </w:r>
  </w:p>
  <w:p w14:paraId="0D2C80E7" w14:textId="77777777" w:rsidR="00652303" w:rsidRDefault="006523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03"/>
    <w:rsid w:val="000B3BC1"/>
    <w:rsid w:val="001F2A45"/>
    <w:rsid w:val="002C7CEB"/>
    <w:rsid w:val="003A3B80"/>
    <w:rsid w:val="00630DBB"/>
    <w:rsid w:val="00652303"/>
    <w:rsid w:val="007A49F2"/>
    <w:rsid w:val="009F1C39"/>
    <w:rsid w:val="00A2479B"/>
    <w:rsid w:val="00B07025"/>
    <w:rsid w:val="00BB20D6"/>
    <w:rsid w:val="00C2158B"/>
    <w:rsid w:val="00E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0490"/>
  <w15:docId w15:val="{24E42CCA-648E-4EB0-88B0-51913814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2303"/>
    <w:pPr>
      <w:keepNext/>
      <w:outlineLvl w:val="1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52303"/>
    <w:pPr>
      <w:keepNext/>
      <w:spacing w:line="360" w:lineRule="auto"/>
      <w:ind w:firstLine="708"/>
      <w:jc w:val="both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2303"/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652303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Akapitzlist">
    <w:name w:val="List Paragraph"/>
    <w:aliases w:val="L1,Numerowanie,Akapit z listą BS,Kolorowa lista — akcent 11,Bulleted list,Akapit z listą5,Odstavec,CW_Lista"/>
    <w:basedOn w:val="Normalny"/>
    <w:link w:val="AkapitzlistZnak"/>
    <w:uiPriority w:val="99"/>
    <w:qFormat/>
    <w:rsid w:val="00652303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1 Znak,Numerowanie Znak,Akapit z listą BS Znak,Kolorowa lista — akcent 11 Znak,Bulleted list Znak,Akapit z listą5 Znak,Odstavec Znak,CW_Lista Znak"/>
    <w:link w:val="Akapitzlist"/>
    <w:uiPriority w:val="99"/>
    <w:qFormat/>
    <w:locked/>
    <w:rsid w:val="006523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2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3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5230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52303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17E4-30CF-4C07-B5A0-8CB3E3DE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Mokosiej Anna</cp:lastModifiedBy>
  <cp:revision>4</cp:revision>
  <dcterms:created xsi:type="dcterms:W3CDTF">2024-07-10T06:21:00Z</dcterms:created>
  <dcterms:modified xsi:type="dcterms:W3CDTF">2024-07-10T07:38:00Z</dcterms:modified>
</cp:coreProperties>
</file>