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5553" w:rsidR="00F16CD9" w:rsidP="00F16CD9" w:rsidRDefault="00445F91" w14:paraId="12866B45" w14:textId="4599B5DD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CB5553" w:rsidR="00F16CD9">
        <w:rPr>
          <w:rFonts w:asciiTheme="minorHAnsi" w:hAnsiTheme="minorHAnsi" w:cstheme="minorHAnsi"/>
          <w:b/>
        </w:rPr>
        <w:t xml:space="preserve">Załącznik nr </w:t>
      </w:r>
      <w:r w:rsidRPr="00CB5553" w:rsidR="00010BA1">
        <w:rPr>
          <w:rFonts w:asciiTheme="minorHAnsi" w:hAnsiTheme="minorHAnsi" w:cstheme="minorHAnsi"/>
          <w:b/>
        </w:rPr>
        <w:t>1</w:t>
      </w:r>
      <w:r w:rsidRPr="00CB5553" w:rsidR="00F16CD9">
        <w:rPr>
          <w:rFonts w:asciiTheme="minorHAnsi" w:hAnsiTheme="minorHAnsi" w:cstheme="minorHAnsi"/>
          <w:b/>
        </w:rPr>
        <w:t xml:space="preserve"> do SWZ</w:t>
      </w:r>
    </w:p>
    <w:p w:rsidRPr="00CB5553" w:rsidR="00F16CD9" w:rsidP="00F16CD9" w:rsidRDefault="00F16CD9" w14:paraId="49CDF741" w14:textId="77777777">
      <w:pPr>
        <w:jc w:val="center"/>
        <w:rPr>
          <w:rFonts w:asciiTheme="minorHAnsi" w:hAnsiTheme="minorHAnsi" w:cstheme="minorHAnsi"/>
          <w:b/>
        </w:rPr>
      </w:pPr>
    </w:p>
    <w:p w:rsidRPr="00CB5553" w:rsidR="00F16CD9" w:rsidP="00F16CD9" w:rsidRDefault="00F16CD9" w14:paraId="7D93537F" w14:textId="77777777">
      <w:pPr>
        <w:jc w:val="center"/>
        <w:rPr>
          <w:rFonts w:asciiTheme="minorHAnsi" w:hAnsiTheme="minorHAnsi" w:cstheme="minorHAnsi"/>
          <w:b/>
        </w:rPr>
      </w:pPr>
    </w:p>
    <w:p w:rsidRPr="00CB5553" w:rsidR="00F16CD9" w:rsidP="00F16CD9" w:rsidRDefault="00F16CD9" w14:paraId="17F73C01" w14:textId="77777777">
      <w:pPr>
        <w:ind w:left="142" w:right="567"/>
        <w:jc w:val="center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</w:p>
    <w:p w:rsidRPr="00CB5553" w:rsidR="00F16CD9" w:rsidP="00F16CD9" w:rsidRDefault="00F16CD9" w14:paraId="02C5B86D" w14:textId="77777777">
      <w:pPr>
        <w:ind w:left="142" w:right="567"/>
        <w:rPr>
          <w:rFonts w:asciiTheme="minorHAnsi" w:hAnsiTheme="minorHAnsi" w:cstheme="minorHAnsi"/>
        </w:rPr>
      </w:pPr>
    </w:p>
    <w:p w:rsidRPr="00CB5553" w:rsidR="00F16CD9" w:rsidP="00F16CD9" w:rsidRDefault="00F16CD9" w14:paraId="7640DAB4" w14:textId="77777777">
      <w:pPr>
        <w:spacing w:line="276" w:lineRule="auto"/>
        <w:ind w:left="142" w:right="567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:rsidRPr="00CB5553" w:rsidR="00F16CD9" w:rsidP="00F16CD9" w:rsidRDefault="00F16CD9" w14:paraId="31131292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:rsidRPr="00CB5553" w:rsidR="00F16CD9" w:rsidP="00F16CD9" w:rsidRDefault="00F16CD9" w14:paraId="43BC3A17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:rsidRPr="00CB5553" w:rsidR="00F16CD9" w:rsidP="00F16CD9" w:rsidRDefault="00F16CD9" w14:paraId="270D5009" w14:textId="77777777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:rsidRPr="00CB5553" w:rsidR="00F16CD9" w:rsidP="00F16CD9" w:rsidRDefault="00F16CD9" w14:paraId="44C42E47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:rsidRPr="00CB5553" w:rsidR="00F16CD9" w:rsidP="00F16CD9" w:rsidRDefault="00F16CD9" w14:paraId="35303ECC" w14:textId="77777777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:rsidRPr="00CB5553" w:rsidR="00F16CD9" w:rsidP="00F16CD9" w:rsidRDefault="00F16CD9" w14:paraId="16E5EC42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:rsidRPr="00CB5553" w:rsidR="00F16CD9" w:rsidP="00F16CD9" w:rsidRDefault="00F16CD9" w14:paraId="0DA552C8" w14:textId="77777777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:rsidRPr="00CB5553" w:rsidR="00F16CD9" w:rsidP="00F16CD9" w:rsidRDefault="00F16CD9" w14:paraId="1A657BFB" w14:textId="77777777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:rsidRPr="00CB5553" w:rsidR="00F16CD9" w:rsidP="00F16CD9" w:rsidRDefault="0019485E" w14:paraId="4251FDF0" w14:textId="0B60A5E4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Pr="00CB5553" w:rsidR="00F16CD9">
        <w:rPr>
          <w:rFonts w:asciiTheme="minorHAnsi" w:hAnsiTheme="minorHAnsi" w:cstheme="minorHAnsi"/>
          <w:lang w:val="de-DE"/>
        </w:rPr>
        <w:t>tel.: ................................................</w:t>
      </w:r>
    </w:p>
    <w:p w:rsidRPr="00CB5553" w:rsidR="00F16CD9" w:rsidP="00F16CD9" w:rsidRDefault="00F16CD9" w14:paraId="5E87AB0A" w14:textId="77777777">
      <w:pPr>
        <w:spacing w:line="276" w:lineRule="auto"/>
        <w:ind w:left="142" w:right="567"/>
        <w:rPr>
          <w:rFonts w:asciiTheme="minorHAnsi" w:hAnsiTheme="minorHAnsi" w:cstheme="minorHAnsi"/>
        </w:rPr>
      </w:pPr>
    </w:p>
    <w:p w:rsidRPr="00CB5553" w:rsidR="00F16CD9" w:rsidP="00F16CD9" w:rsidRDefault="00F16CD9" w14:paraId="15B98A15" w14:textId="77777777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:rsidRPr="00CB5553" w:rsidR="00F16CD9" w:rsidP="00F16CD9" w:rsidRDefault="00F16CD9" w14:paraId="09F30D3E" w14:textId="77777777">
      <w:pPr>
        <w:spacing w:line="276" w:lineRule="auto"/>
        <w:ind w:left="142" w:right="567"/>
        <w:rPr>
          <w:rFonts w:asciiTheme="minorHAnsi" w:hAnsiTheme="minorHAnsi" w:cstheme="minorHAnsi"/>
        </w:rPr>
      </w:pPr>
    </w:p>
    <w:p w:rsidRPr="00CB5553" w:rsidR="00F16CD9" w:rsidP="00F16CD9" w:rsidRDefault="00F16CD9" w14:paraId="4C4FAD2F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</w:rPr>
      </w:pPr>
      <w:r w:rsidRPr="00CB5553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CB5553">
        <w:rPr>
          <w:rFonts w:asciiTheme="minorHAnsi" w:hAnsiTheme="minorHAnsi" w:cstheme="minorHAnsi"/>
          <w:i/>
          <w:color w:val="000000"/>
        </w:rPr>
        <w:t>*)</w:t>
      </w:r>
      <w:r w:rsidRPr="00CB5553">
        <w:rPr>
          <w:rFonts w:asciiTheme="minorHAnsi" w:hAnsiTheme="minorHAnsi" w:cstheme="minorHAnsi"/>
          <w:i/>
        </w:rPr>
        <w:t>,</w:t>
      </w:r>
      <w:r w:rsidRPr="00CB5553">
        <w:rPr>
          <w:rFonts w:asciiTheme="minorHAnsi" w:hAnsiTheme="minorHAnsi" w:cstheme="minorHAnsi"/>
        </w:rPr>
        <w:t xml:space="preserve"> w szczególności rejestrów publicznych w rozumieniu </w:t>
      </w:r>
      <w:hyperlink w:history="1" w:anchor="/dokument/17181936" r:id="rId10">
        <w:r w:rsidRPr="00CB5553">
          <w:rPr>
            <w:rFonts w:asciiTheme="minorHAnsi" w:hAnsiTheme="minorHAnsi" w:cstheme="minorHAnsi"/>
          </w:rPr>
          <w:t>ustawy</w:t>
        </w:r>
      </w:hyperlink>
      <w:r w:rsidRPr="00CB5553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:rsidRPr="00CB5553" w:rsidR="00F16CD9" w:rsidP="00F16CD9" w:rsidRDefault="00F16CD9" w14:paraId="27B3BD9E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445F91" w:rsidR="00F16CD9" w:rsidTr="001252F6" w14:paraId="7BBB805B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357E0C33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name="_Hlk39823545" w:id="0"/>
          </w:p>
        </w:tc>
        <w:tc>
          <w:tcPr>
            <w:tcW w:w="8617" w:type="dxa"/>
            <w:tcBorders>
              <w:top w:val="nil"/>
              <w:left w:val="single" w:color="8080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3FA6C40A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w:history="1" r:id="rId1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Pr="00445F91" w:rsidR="00F16CD9" w:rsidTr="001252F6" w14:paraId="7BAD9315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63382342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445F91" w:rsidR="00F16CD9" w:rsidTr="001252F6" w14:paraId="0C8B1D58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4CF09359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4451ADF3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w:history="1" r:id="rId12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:rsidRPr="00CB5553" w:rsidR="00F16CD9" w:rsidP="00F16CD9" w:rsidRDefault="00F16CD9" w14:paraId="4FF1792F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CB5553" w:rsidR="00F16CD9" w:rsidTr="001252F6" w14:paraId="6D40AC5F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7DC2CD19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35432DCC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:rsidRPr="00CB5553" w:rsidR="00F16CD9" w:rsidP="00F16CD9" w:rsidRDefault="00F16CD9" w14:paraId="65219A5E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:rsidRPr="00CB5553" w:rsidR="00F16CD9" w:rsidP="00F16CD9" w:rsidRDefault="00F16CD9" w14:paraId="552BEAAE" w14:textId="77777777">
      <w:pPr>
        <w:spacing w:line="276" w:lineRule="auto"/>
        <w:ind w:left="142" w:right="567" w:hanging="141"/>
        <w:jc w:val="both"/>
        <w:rPr>
          <w:rFonts w:asciiTheme="minorHAnsi" w:hAnsiTheme="minorHAnsi" w:cstheme="minorHAnsi"/>
          <w:i/>
          <w:color w:val="000000"/>
        </w:rPr>
      </w:pPr>
      <w:bookmarkStart w:name="_Hlk39823731" w:id="1"/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:rsidRPr="00CB5553" w:rsidR="00F16CD9" w:rsidP="00F16CD9" w:rsidRDefault="00F16CD9" w14:paraId="10D6E995" w14:textId="77777777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:rsidR="00F16CD9" w:rsidP="0370D7B6" w:rsidRDefault="00F16CD9" w14:paraId="0875DE87" w14:textId="3F4461FA">
      <w:pPr>
        <w:jc w:val="both"/>
        <w:rPr>
          <w:rFonts w:asciiTheme="minorHAnsi" w:hAnsiTheme="minorHAnsi" w:cstheme="minorBidi"/>
          <w:b/>
          <w:bCs/>
        </w:rPr>
      </w:pPr>
      <w:r w:rsidRPr="0370D7B6">
        <w:rPr>
          <w:rFonts w:asciiTheme="minorHAnsi" w:hAnsiTheme="minorHAnsi" w:cstheme="minorBidi"/>
        </w:rPr>
        <w:t>Składając ofertę w postępowaniu o udzielenie zamówienia publicznego prowadzonego w trybie przetargu nieograniczonego,</w:t>
      </w:r>
      <w:r w:rsidRPr="0370D7B6">
        <w:rPr>
          <w:rFonts w:asciiTheme="minorHAnsi" w:hAnsiTheme="minorHAnsi" w:cstheme="minorBidi"/>
          <w:b/>
          <w:bCs/>
        </w:rPr>
        <w:t xml:space="preserve"> </w:t>
      </w:r>
      <w:r w:rsidRPr="0370D7B6">
        <w:rPr>
          <w:rFonts w:asciiTheme="minorHAnsi" w:hAnsiTheme="minorHAnsi" w:cstheme="minorBidi"/>
        </w:rPr>
        <w:t>którego przedmiotem zamówienia jest</w:t>
      </w:r>
      <w:r w:rsidRPr="0370D7B6">
        <w:rPr>
          <w:rFonts w:asciiTheme="minorHAnsi" w:hAnsiTheme="minorHAnsi" w:cstheme="minorBidi"/>
          <w:b/>
          <w:bCs/>
        </w:rPr>
        <w:t>:</w:t>
      </w:r>
      <w:r w:rsidRPr="0370D7B6" w:rsidR="3D8C80AC">
        <w:rPr>
          <w:rFonts w:asciiTheme="minorHAnsi" w:hAnsiTheme="minorHAnsi" w:cstheme="minorBidi"/>
          <w:b/>
          <w:bCs/>
        </w:rPr>
        <w:t xml:space="preserve"> </w:t>
      </w:r>
      <w:r w:rsidRPr="0370D7B6" w:rsidR="0DA384F7">
        <w:rPr>
          <w:rFonts w:asciiTheme="minorHAnsi" w:hAnsiTheme="minorHAnsi" w:cstheme="minorBidi"/>
          <w:b/>
          <w:bCs/>
        </w:rPr>
        <w:t>dostawa, wdrożenie i uruchomienie infrastruktury IT dla nowo budowanego budynku Małopolskiego Centrum Nauki Cogiteon.</w:t>
      </w:r>
    </w:p>
    <w:p w:rsidRPr="006E00C0" w:rsidR="00F16CD9" w:rsidP="00B90C9B" w:rsidRDefault="00F16CD9" w14:paraId="66B1A50F" w14:textId="08776FCB">
      <w:pPr>
        <w:jc w:val="both"/>
        <w:rPr>
          <w:rFonts w:asciiTheme="minorHAnsi" w:hAnsiTheme="minorHAnsi" w:cstheme="minorHAnsi"/>
          <w:bCs/>
          <w:lang w:val="x-none" w:eastAsia="x-none"/>
        </w:rPr>
      </w:pPr>
    </w:p>
    <w:p w:rsidRPr="00CB5553" w:rsidR="00F16CD9" w:rsidP="3E599569" w:rsidRDefault="00F16CD9" w14:paraId="4816300D" w14:textId="59769A95">
      <w:pPr>
        <w:shd w:val="clear" w:color="auto" w:fill="FFFFFF" w:themeFill="background1"/>
        <w:tabs>
          <w:tab w:val="right" w:pos="9071"/>
        </w:tabs>
        <w:spacing w:line="276" w:lineRule="auto"/>
        <w:ind w:left="142" w:right="567"/>
        <w:jc w:val="both"/>
        <w:rPr>
          <w:rFonts w:asciiTheme="minorHAnsi" w:hAnsiTheme="minorHAnsi" w:cstheme="minorBidi"/>
          <w:lang w:eastAsia="x-none"/>
        </w:rPr>
      </w:pPr>
      <w:r w:rsidRPr="3E599569">
        <w:rPr>
          <w:rFonts w:asciiTheme="minorHAnsi" w:hAnsiTheme="minorHAnsi" w:cstheme="minorBidi"/>
        </w:rPr>
        <w:t>Oferuję/-</w:t>
      </w:r>
      <w:proofErr w:type="spellStart"/>
      <w:r w:rsidRPr="3E599569">
        <w:rPr>
          <w:rFonts w:asciiTheme="minorHAnsi" w:hAnsiTheme="minorHAnsi" w:cstheme="minorBidi"/>
        </w:rPr>
        <w:t>emy</w:t>
      </w:r>
      <w:proofErr w:type="spellEnd"/>
      <w:r w:rsidRPr="3E599569">
        <w:rPr>
          <w:rFonts w:asciiTheme="minorHAnsi" w:hAnsiTheme="minorHAnsi" w:cstheme="minorBidi"/>
        </w:rPr>
        <w:t xml:space="preserve"> wykonanie całości zamówienia w pełnym, rzeczowym zakresie objętym dokumentacją postępowania w podanej cenie ryczałtowej (w zł):</w:t>
      </w:r>
      <w:r w:rsidRPr="3E599569" w:rsidR="5A673CFB">
        <w:rPr>
          <w:rFonts w:asciiTheme="minorHAnsi" w:hAnsiTheme="minorHAnsi" w:cstheme="minorBidi"/>
        </w:rPr>
        <w:t xml:space="preserve"> </w:t>
      </w:r>
    </w:p>
    <w:p w:rsidRPr="00CB5553" w:rsidR="00F16CD9" w:rsidP="39412305" w:rsidRDefault="00F16CD9" w14:paraId="163E4961" w14:textId="77777777">
      <w:pPr>
        <w:shd w:val="clear" w:color="auto" w:fill="FFFFFF" w:themeFill="background1"/>
        <w:spacing w:line="276" w:lineRule="auto"/>
        <w:ind w:left="142" w:right="567"/>
        <w:jc w:val="both"/>
        <w:rPr>
          <w:rFonts w:asciiTheme="minorHAnsi" w:hAnsiTheme="minorHAnsi" w:eastAsiaTheme="minorEastAsia" w:cstheme="minorBidi"/>
          <w:lang w:eastAsia="x-none"/>
        </w:rPr>
      </w:pPr>
    </w:p>
    <w:p w:rsidR="39412305" w:rsidP="39412305" w:rsidRDefault="39412305" w14:paraId="2873C4AA" w14:textId="7A074500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center" w:leader="dot" w:pos="5032"/>
          <w:tab w:val="right" w:leader="dot" w:pos="10065"/>
        </w:tabs>
        <w:spacing w:line="276" w:lineRule="auto"/>
        <w:ind w:right="425"/>
        <w:jc w:val="both"/>
        <w:rPr>
          <w:rFonts w:asciiTheme="minorHAnsi" w:hAnsiTheme="minorHAnsi" w:eastAsiaTheme="minorEastAsia" w:cstheme="minorBidi"/>
        </w:rPr>
      </w:pPr>
      <w:r w:rsidRPr="39412305">
        <w:rPr>
          <w:rFonts w:asciiTheme="minorHAnsi" w:hAnsiTheme="minorHAnsi" w:eastAsiaTheme="minorEastAsia" w:cstheme="minorBidi"/>
          <w:color w:val="000000" w:themeColor="text1"/>
        </w:rPr>
        <w:t>W zakresie koniecznym zamówienia:</w:t>
      </w:r>
    </w:p>
    <w:p w:rsidRPr="00CB5553" w:rsidR="00F16CD9" w:rsidP="39412305" w:rsidRDefault="00F16CD9" w14:paraId="6E91BBDE" w14:textId="61FFE537">
      <w:pPr>
        <w:shd w:val="clear" w:color="auto" w:fill="FFFFFF" w:themeFill="background1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Theme="minorHAnsi" w:hAnsiTheme="minorHAnsi" w:eastAsiaTheme="minorEastAsia" w:cstheme="minorBidi"/>
        </w:rPr>
      </w:pPr>
      <w:r w:rsidRPr="39412305">
        <w:rPr>
          <w:rFonts w:asciiTheme="minorHAnsi" w:hAnsiTheme="minorHAnsi" w:eastAsiaTheme="minorEastAsia" w:cstheme="minorBidi"/>
        </w:rPr>
        <w:t>brutto:</w:t>
      </w:r>
      <w:r>
        <w:tab/>
      </w:r>
      <w:r w:rsidRPr="39412305">
        <w:rPr>
          <w:rFonts w:asciiTheme="minorHAnsi" w:hAnsiTheme="minorHAnsi" w:eastAsiaTheme="minorEastAsia" w:cstheme="minorBidi"/>
        </w:rPr>
        <w:t xml:space="preserve">słownie: </w:t>
      </w:r>
      <w:r>
        <w:tab/>
      </w:r>
    </w:p>
    <w:p w:rsidRPr="00CB5553" w:rsidR="00F16CD9" w:rsidP="39412305" w:rsidRDefault="00F16CD9" w14:paraId="67E1253D" w14:textId="77777777">
      <w:pPr>
        <w:shd w:val="clear" w:color="auto" w:fill="FFFFFF" w:themeFill="background1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eastAsiaTheme="minorEastAsia" w:cstheme="minorBidi"/>
        </w:rPr>
      </w:pPr>
      <w:r w:rsidRPr="39412305">
        <w:rPr>
          <w:rFonts w:asciiTheme="minorHAnsi" w:hAnsiTheme="minorHAnsi" w:eastAsiaTheme="minorEastAsia" w:cstheme="minorBidi"/>
        </w:rPr>
        <w:t>VAT (23%):</w:t>
      </w:r>
      <w:r>
        <w:tab/>
      </w:r>
      <w:r w:rsidRPr="39412305">
        <w:rPr>
          <w:rFonts w:asciiTheme="minorHAnsi" w:hAnsiTheme="minorHAnsi" w:eastAsiaTheme="minorEastAsia" w:cstheme="minorBidi"/>
        </w:rPr>
        <w:t xml:space="preserve">słownie: </w:t>
      </w:r>
      <w:r>
        <w:tab/>
      </w:r>
    </w:p>
    <w:p w:rsidRPr="00CB5553" w:rsidR="00F16CD9" w:rsidP="39412305" w:rsidRDefault="00F16CD9" w14:paraId="435E7D16" w14:textId="77777777">
      <w:pPr>
        <w:shd w:val="clear" w:color="auto" w:fill="FFFFFF" w:themeFill="background1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eastAsiaTheme="minorEastAsia" w:cstheme="minorBidi"/>
        </w:rPr>
      </w:pPr>
      <w:r w:rsidRPr="39412305">
        <w:rPr>
          <w:rFonts w:asciiTheme="minorHAnsi" w:hAnsiTheme="minorHAnsi" w:eastAsiaTheme="minorEastAsia" w:cstheme="minorBidi"/>
        </w:rPr>
        <w:t xml:space="preserve">netto: </w:t>
      </w:r>
      <w:r>
        <w:tab/>
      </w:r>
      <w:r w:rsidRPr="39412305">
        <w:rPr>
          <w:rFonts w:asciiTheme="minorHAnsi" w:hAnsiTheme="minorHAnsi" w:eastAsiaTheme="minorEastAsia" w:cstheme="minorBidi"/>
        </w:rPr>
        <w:t xml:space="preserve">słownie: </w:t>
      </w:r>
      <w:r>
        <w:tab/>
      </w:r>
    </w:p>
    <w:p w:rsidR="00CB5553" w:rsidP="39412305" w:rsidRDefault="00CB5553" w14:paraId="3494D168" w14:textId="6A2E4B33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eastAsiaTheme="minorEastAsia" w:cstheme="minorBidi"/>
        </w:rPr>
      </w:pPr>
      <w:bookmarkStart w:name="_Hlk526153345" w:id="2"/>
    </w:p>
    <w:p w:rsidRPr="00DE6628" w:rsidR="00B90C9B" w:rsidP="39412305" w:rsidRDefault="39412305" w14:paraId="0D07C430" w14:textId="1F275BE2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eastAsiaTheme="minorEastAsia" w:cstheme="minorBidi"/>
        </w:rPr>
      </w:pPr>
      <w:r w:rsidRPr="39412305">
        <w:rPr>
          <w:rFonts w:asciiTheme="minorHAnsi" w:hAnsiTheme="minorHAnsi" w:eastAsiaTheme="minorEastAsia" w:cstheme="minorBidi"/>
          <w:color w:val="000000" w:themeColor="text1"/>
        </w:rPr>
        <w:t>Całość zamówienia w uwzględnieniem prawa opcji:</w:t>
      </w:r>
    </w:p>
    <w:p w:rsidRPr="00CB5553" w:rsidR="00DE6628" w:rsidP="39412305" w:rsidRDefault="00DE6628" w14:paraId="6BE1145E" w14:textId="77777777">
      <w:pPr>
        <w:shd w:val="clear" w:color="auto" w:fill="FFFFFF" w:themeFill="background1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Theme="minorHAnsi" w:hAnsiTheme="minorHAnsi" w:eastAsiaTheme="minorEastAsia" w:cstheme="minorBidi"/>
        </w:rPr>
      </w:pPr>
      <w:r w:rsidRPr="39412305">
        <w:rPr>
          <w:rFonts w:asciiTheme="minorHAnsi" w:hAnsiTheme="minorHAnsi" w:eastAsiaTheme="minorEastAsia" w:cstheme="minorBidi"/>
        </w:rPr>
        <w:t>brutto:</w:t>
      </w:r>
      <w:r>
        <w:tab/>
      </w:r>
      <w:r w:rsidRPr="39412305">
        <w:rPr>
          <w:rFonts w:asciiTheme="minorHAnsi" w:hAnsiTheme="minorHAnsi" w:eastAsiaTheme="minorEastAsia" w:cstheme="minorBidi"/>
        </w:rPr>
        <w:t xml:space="preserve">słownie: </w:t>
      </w:r>
      <w:r>
        <w:tab/>
      </w:r>
    </w:p>
    <w:p w:rsidRPr="00CB5553" w:rsidR="00DE6628" w:rsidP="39412305" w:rsidRDefault="00DE6628" w14:paraId="34D738A2" w14:textId="77777777">
      <w:pPr>
        <w:shd w:val="clear" w:color="auto" w:fill="FFFFFF" w:themeFill="background1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eastAsiaTheme="minorEastAsia" w:cstheme="minorBidi"/>
        </w:rPr>
      </w:pPr>
      <w:r w:rsidRPr="39412305">
        <w:rPr>
          <w:rFonts w:asciiTheme="minorHAnsi" w:hAnsiTheme="minorHAnsi" w:eastAsiaTheme="minorEastAsia" w:cstheme="minorBidi"/>
        </w:rPr>
        <w:t>VAT (23%):</w:t>
      </w:r>
      <w:r>
        <w:tab/>
      </w:r>
      <w:r w:rsidRPr="39412305">
        <w:rPr>
          <w:rFonts w:asciiTheme="minorHAnsi" w:hAnsiTheme="minorHAnsi" w:eastAsiaTheme="minorEastAsia" w:cstheme="minorBidi"/>
        </w:rPr>
        <w:t xml:space="preserve">słownie: </w:t>
      </w:r>
      <w:r>
        <w:tab/>
      </w:r>
    </w:p>
    <w:p w:rsidRPr="00CB5553" w:rsidR="00DE6628" w:rsidP="00DE6628" w:rsidRDefault="00DE6628" w14:paraId="3FA47AA4" w14:textId="77777777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 xml:space="preserve">netto: </w:t>
      </w:r>
      <w:r w:rsidRPr="00CB5553">
        <w:rPr>
          <w:rFonts w:asciiTheme="minorHAnsi" w:hAnsiTheme="minorHAnsi" w:cstheme="minorHAnsi"/>
          <w:bCs/>
        </w:rPr>
        <w:tab/>
      </w:r>
      <w:r w:rsidRPr="00CB5553">
        <w:rPr>
          <w:rFonts w:asciiTheme="minorHAnsi" w:hAnsiTheme="minorHAnsi" w:cstheme="minorHAnsi"/>
          <w:bCs/>
        </w:rPr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:rsidR="00B90C9B" w:rsidP="4B7D675A" w:rsidRDefault="00B90C9B" w14:paraId="3C4F715F" w14:textId="0724847E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Bidi"/>
        </w:rPr>
      </w:pPr>
    </w:p>
    <w:p w:rsidR="57FE5FA3" w:rsidP="4B7D675A" w:rsidRDefault="57FE5FA3" w14:paraId="0FAE0CC3" w14:textId="1E4F6596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</w:p>
    <w:p w:rsidR="57FE5FA3" w:rsidP="4B7D675A" w:rsidRDefault="57FE5FA3" w14:paraId="63368CBE" w14:textId="11605650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w zakresie: ……………….………………………………………..………………</w:t>
      </w:r>
    </w:p>
    <w:p w:rsidR="57FE5FA3" w:rsidP="4B7D675A" w:rsidRDefault="57FE5FA3" w14:paraId="5C36ADA3" w14:textId="71F50F67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(wskazać nazwę/rodzaj towaru/usługi</w:t>
      </w:r>
    </w:p>
    <w:p w:rsidR="57FE5FA3" w:rsidP="4B7D675A" w:rsidRDefault="57FE5FA3" w14:paraId="3905DDD6" w14:textId="3380B12D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na kwotę: …………………………………………………………………………………..</w:t>
      </w:r>
    </w:p>
    <w:p w:rsidR="57FE5FA3" w:rsidP="4B7D675A" w:rsidRDefault="57FE5FA3" w14:paraId="11F68E8F" w14:textId="79CDE3BB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(wskazać wartość netto towaru/usługi oraz wartość podatku VAT)</w:t>
      </w:r>
    </w:p>
    <w:p w:rsidR="4B7D675A" w:rsidP="4B7D675A" w:rsidRDefault="4B7D675A" w14:paraId="004A75FA" w14:textId="7C773BE7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</w:p>
    <w:p w:rsidR="57FE5FA3" w:rsidP="4B7D675A" w:rsidRDefault="57FE5FA3" w14:paraId="604A3919" w14:textId="4B178FB1">
      <w:pPr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4B7D675A">
        <w:rPr>
          <w:rFonts w:asciiTheme="minorHAnsi" w:hAnsiTheme="minorHAnsi" w:eastAsiaTheme="minorEastAsia" w:cstheme="minorBidi"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:rsidR="4B7D675A" w:rsidP="4B7D675A" w:rsidRDefault="4B7D675A" w14:paraId="625A7169" w14:textId="75E4780F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Bidi"/>
        </w:rPr>
      </w:pPr>
    </w:p>
    <w:p w:rsidRPr="00CB5553" w:rsidR="00B90C9B" w:rsidP="00F16CD9" w:rsidRDefault="00B90C9B" w14:paraId="0C4AC1F9" w14:textId="77777777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bookmarkEnd w:id="2"/>
    <w:tbl>
      <w:tblPr>
        <w:tblW w:w="10420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0065"/>
      </w:tblGrid>
      <w:tr w:rsidRPr="00CB5553" w:rsidR="00F16CD9" w:rsidTr="3E599569" w14:paraId="4FE0E63C" w14:textId="77777777">
        <w:trPr>
          <w:trHeight w:val="14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5553" w:rsidR="00F16CD9" w:rsidP="001252F6" w:rsidRDefault="00F16CD9" w14:paraId="47F105E8" w14:textId="77777777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CD9" w:rsidP="3928BA00" w:rsidRDefault="00F16CD9" w14:paraId="047C6250" w14:textId="5D544B7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142"/>
              </w:tabs>
              <w:spacing w:line="276" w:lineRule="auto"/>
              <w:ind w:left="142" w:right="567" w:firstLine="181"/>
              <w:jc w:val="both"/>
              <w:rPr>
                <w:rFonts w:asciiTheme="minorHAnsi" w:hAnsiTheme="minorHAnsi" w:cstheme="minorBidi"/>
              </w:rPr>
            </w:pPr>
            <w:r w:rsidRPr="3928BA00">
              <w:rPr>
                <w:rFonts w:asciiTheme="minorHAnsi" w:hAnsiTheme="minorHAnsi" w:cstheme="minorBidi"/>
              </w:rPr>
              <w:t>Oferuję/-</w:t>
            </w:r>
            <w:proofErr w:type="spellStart"/>
            <w:r w:rsidRPr="3928BA00">
              <w:rPr>
                <w:rFonts w:asciiTheme="minorHAnsi" w:hAnsiTheme="minorHAnsi" w:cstheme="minorBidi"/>
              </w:rPr>
              <w:t>emy</w:t>
            </w:r>
            <w:proofErr w:type="spellEnd"/>
            <w:r w:rsidRPr="3928BA00">
              <w:rPr>
                <w:rFonts w:asciiTheme="minorHAnsi" w:hAnsiTheme="minorHAnsi" w:cstheme="minorBidi"/>
              </w:rPr>
              <w:t xml:space="preserve"> </w:t>
            </w:r>
            <w:r w:rsidRPr="3928BA00" w:rsidR="7E92F493">
              <w:rPr>
                <w:rFonts w:asciiTheme="minorHAnsi" w:hAnsiTheme="minorHAnsi" w:cstheme="minorBidi"/>
              </w:rPr>
              <w:t xml:space="preserve">60 miesięczny okres </w:t>
            </w:r>
            <w:r w:rsidRPr="3928BA00">
              <w:rPr>
                <w:rFonts w:asciiTheme="minorHAnsi" w:hAnsiTheme="minorHAnsi" w:cstheme="minorBidi"/>
              </w:rPr>
              <w:t>gwarancji na przedmiot zamówienia</w:t>
            </w:r>
            <w:r w:rsidRPr="3928BA00" w:rsidR="5DE457BF">
              <w:rPr>
                <w:rFonts w:asciiTheme="minorHAnsi" w:hAnsiTheme="minorHAnsi" w:cstheme="minorBidi"/>
              </w:rPr>
              <w:t xml:space="preserve">. </w:t>
            </w:r>
            <w:r w:rsidRPr="3928BA00" w:rsidR="00445F91">
              <w:rPr>
                <w:rFonts w:asciiTheme="minorHAnsi" w:hAnsiTheme="minorHAnsi" w:cstheme="minorBidi"/>
              </w:rPr>
              <w:t xml:space="preserve"> </w:t>
            </w:r>
          </w:p>
          <w:p w:rsidRPr="00CB5553" w:rsidR="00445F91" w:rsidP="6A712414" w:rsidRDefault="00445F91" w14:paraId="6D2A335B" w14:textId="5D236DC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right" w:pos="142"/>
              </w:tabs>
              <w:spacing w:line="276" w:lineRule="auto"/>
              <w:ind w:left="142" w:right="567" w:firstLine="181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Oferuję poniższe funkcjonalności:</w:t>
            </w:r>
          </w:p>
          <w:tbl>
            <w:tblPr>
              <w:tblW w:w="173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"/>
            </w:tblGrid>
            <w:tr w:rsidRPr="00CB5553" w:rsidR="00445F91" w:rsidTr="00445F91" w14:paraId="75B9D5C4" w14:textId="77777777">
              <w:trPr>
                <w:trHeight w:val="145"/>
              </w:trPr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CB5553" w:rsidR="00445F91" w:rsidP="001252F6" w:rsidRDefault="00445F91" w14:paraId="13A9F3EA" w14:textId="77777777">
                  <w:pPr>
                    <w:spacing w:line="276" w:lineRule="auto"/>
                    <w:ind w:left="142" w:right="567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tbl>
            <w:tblPr>
              <w:tblStyle w:val="TableGrid"/>
              <w:tblW w:w="9391" w:type="dxa"/>
              <w:tblInd w:w="420" w:type="dxa"/>
              <w:tblLook w:val="0000" w:firstRow="0" w:lastRow="0" w:firstColumn="0" w:lastColumn="0" w:noHBand="0" w:noVBand="0"/>
            </w:tblPr>
            <w:tblGrid>
              <w:gridCol w:w="2175"/>
              <w:gridCol w:w="2685"/>
              <w:gridCol w:w="2149"/>
              <w:gridCol w:w="2382"/>
            </w:tblGrid>
            <w:tr w:rsidR="00445F91" w:rsidTr="0370D7B6" w14:paraId="1AB6297B" w14:textId="2A589575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5C4FA6CB" w14:textId="7BAEB72E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0000" w:themeColor="text1"/>
                      <w:sz w:val="22"/>
                      <w:szCs w:val="22"/>
                    </w:rPr>
                  </w:pPr>
                  <w:r w:rsidRPr="0370D7B6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Dotyc</w:t>
                  </w:r>
                  <w:r w:rsidRPr="0370D7B6" w:rsidR="735C8DF3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z</w:t>
                  </w:r>
                  <w:r w:rsidRPr="0370D7B6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22995852" w14:textId="3D595B0E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0000" w:themeColor="text1"/>
                      <w:sz w:val="22"/>
                      <w:szCs w:val="22"/>
                    </w:rPr>
                  </w:pPr>
                  <w:r w:rsidRPr="5D0200B1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Funkcjonalność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3E566BB3" w14:textId="58745C89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TAK/NIE</w:t>
                  </w: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00445F91" w:rsidRDefault="00445F91" w14:paraId="236A7C01" w14:textId="346D6DDB">
                  <w:pPr>
                    <w:tabs>
                      <w:tab w:val="left" w:pos="142"/>
                    </w:tabs>
                    <w:spacing w:line="23" w:lineRule="atLeast"/>
                    <w:ind w:left="33" w:right="580" w:hanging="10"/>
                    <w:jc w:val="both"/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Podać stronę w karcie katalogowej na której opisana jest oferowana funkcjonalność*) </w:t>
                  </w:r>
                </w:p>
              </w:tc>
            </w:tr>
            <w:tr w:rsidR="00445F91" w:rsidTr="0370D7B6" w14:paraId="4A72F2D8" w14:textId="4723E550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00445F91" w:rsidRDefault="00445F91" w14:paraId="6630FD5A" w14:textId="1F98E662">
                  <w:pPr>
                    <w:spacing w:line="23" w:lineRule="atLeast"/>
                    <w:ind w:left="33" w:right="-125" w:hanging="10"/>
                    <w:jc w:val="both"/>
                    <w:rPr>
                      <w:rFonts w:ascii="Calibri" w:hAnsi="Calibri" w:eastAsia="Calibri" w:cs="Calibri"/>
                      <w:color w:val="000000" w:themeColor="text1"/>
                    </w:rPr>
                  </w:pPr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>Bezprzewodowe punkty dostępowe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00445F91" w:rsidRDefault="00445F91" w14:paraId="4F9920EF" w14:textId="71556379">
                  <w:pPr>
                    <w:spacing w:line="23" w:lineRule="atLeast"/>
                    <w:ind w:left="33" w:hanging="10"/>
                    <w:jc w:val="both"/>
                    <w:rPr>
                      <w:rFonts w:ascii="Calibri" w:hAnsi="Calibri" w:eastAsia="Calibri" w:cs="Calibri"/>
                      <w:color w:val="000000" w:themeColor="text1"/>
                    </w:rPr>
                  </w:pPr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>Możliwość adopcji punktów bezprzewodowych do kontrolera chmurowego lub on-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>site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w Data Center Zamawiającego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70742FC2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47211BAF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</w:tr>
            <w:tr w:rsidR="00445F91" w:rsidTr="0370D7B6" w14:paraId="65F16F62" w14:textId="5C2FD872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4B436E3F" w14:textId="612F73D7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Przełączniki i bezprzewodowe punkty dostępowe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69E0119A" w14:textId="4DB9EC20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 xml:space="preserve">Producent oferowanych przełączników i punktów bezprzewodowych występuje w ostatnim opublikowanym  raporcie Gartner Magic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</w:rPr>
                    <w:t>Quadrant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</w:rPr>
                    <w:t xml:space="preserve"> for Enterprise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</w:rPr>
                    <w:t>Wired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</w:rPr>
                    <w:t xml:space="preserve"> and Wireless LAN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</w:rPr>
                    <w:t>Infrastructure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</w:rPr>
                    <w:t xml:space="preserve"> na pozycji Liderów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5766DFA7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328F7F62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</w:tr>
            <w:tr w:rsidR="00445F91" w:rsidTr="0370D7B6" w14:paraId="06CDBF3E" w14:textId="461690A4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0472B450" w14:textId="0FE8E24D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Ogólne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50C53D3F" w14:textId="2FCE287B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 xml:space="preserve">Wszystkie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</w:rPr>
                    <w:t>przełaczniki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</w:rPr>
                    <w:t>, kontroler sieci bezprzewodowej, bezprzewodowe punkty dostępowe, system zarządzania, system kontroli dostępu, System analizy aplikacji działających w sieci LAN i WLAN muszą pochodzić od jednego producenta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0E7BB682" w14:textId="77777777">
                  <w:pPr>
                    <w:ind w:hanging="10"/>
                    <w:jc w:val="both"/>
                    <w:rPr>
                      <w:rFonts w:ascii="Calibri" w:hAnsi="Calibri" w:eastAsia="Calibri" w:cs="Calibri"/>
                      <w:color w:val="0078D4"/>
                      <w:sz w:val="21"/>
                      <w:szCs w:val="21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6AB7CCB3" w14:textId="77777777">
                  <w:pPr>
                    <w:ind w:hanging="10"/>
                    <w:jc w:val="both"/>
                    <w:rPr>
                      <w:rFonts w:ascii="Calibri" w:hAnsi="Calibri" w:eastAsia="Calibri" w:cs="Calibri"/>
                      <w:color w:val="0078D4"/>
                      <w:sz w:val="21"/>
                      <w:szCs w:val="21"/>
                    </w:rPr>
                  </w:pPr>
                </w:p>
              </w:tc>
            </w:tr>
            <w:tr w:rsidRPr="00445F91" w:rsidR="00445F91" w:rsidTr="0370D7B6" w14:paraId="109C0C3B" w14:textId="2834E92A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4E4FB2A2" w14:textId="59392E54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Przełączniki typ 3- 6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445F91" w:rsidR="00445F91" w:rsidP="5D0200B1" w:rsidRDefault="00445F91" w14:paraId="43F3C99A" w14:textId="79220111">
                  <w:pPr>
                    <w:ind w:hanging="10"/>
                    <w:jc w:val="both"/>
                    <w:rPr>
                      <w:rFonts w:ascii="Calibri" w:hAnsi="Calibri" w:eastAsia="Calibri" w:cs="Calibri"/>
                      <w:lang w:val="en-US"/>
                    </w:rPr>
                  </w:pPr>
                  <w:proofErr w:type="spellStart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>Obsługa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 xml:space="preserve"> RADIUS over TLS (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>RadSec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>)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445F91" w:rsidR="00445F91" w:rsidP="5D0200B1" w:rsidRDefault="00445F91" w14:paraId="3CCD3450" w14:textId="77777777">
                  <w:pPr>
                    <w:spacing w:line="352" w:lineRule="auto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445F91" w:rsidR="00445F91" w:rsidP="5D0200B1" w:rsidRDefault="00445F91" w14:paraId="10E1A696" w14:textId="77777777">
                  <w:pPr>
                    <w:spacing w:line="352" w:lineRule="auto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445F91" w:rsidTr="0370D7B6" w14:paraId="672702CD" w14:textId="3BC0700E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618C1EBA" w14:textId="2ADD99D6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Przełączniki typ 3- 6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512E7AB2" w14:textId="48F7B3BF">
                  <w:pPr>
                    <w:spacing w:beforeAutospacing="1" w:after="5" w:afterAutospacing="1"/>
                    <w:ind w:hanging="10"/>
                    <w:rPr>
                      <w:rFonts w:ascii="Calibri" w:hAnsi="Calibri" w:eastAsia="Calibri" w:cs="Calibri"/>
                      <w:color w:val="000000" w:themeColor="text1"/>
                    </w:rPr>
                  </w:pPr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Możliwość rozbudowy przełącznika o „wyniesione” porty (urządzenia) zarządzane z przełącznika – przykładowo zamiast prostych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>niezarządzalnych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8 portowych przełączników, urządzenie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>zarządzalne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z przełącznika nadrzędnego. 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2819C885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60979F54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</w:tr>
            <w:tr w:rsidR="00445F91" w:rsidTr="0370D7B6" w14:paraId="7AA98D4F" w14:textId="33C835FA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3BC9EDC2" w14:textId="214AC64F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Przełącznik typ 1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445F91" w:rsidR="00445F91" w:rsidP="5D0200B1" w:rsidRDefault="00445F91" w14:paraId="5D251013" w14:textId="1DCA3BE5">
                  <w:pPr>
                    <w:ind w:hanging="10"/>
                    <w:jc w:val="both"/>
                    <w:rPr>
                      <w:rFonts w:ascii="Calibri" w:hAnsi="Calibri" w:eastAsia="Calibri" w:cs="Calibri"/>
                      <w:lang w:val="en-US"/>
                    </w:rPr>
                  </w:pPr>
                  <w:proofErr w:type="spellStart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>Obsługa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 xml:space="preserve"> 802.1aq Shortest Path Bridging (SPB) MAC-in-MAC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>oraz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 xml:space="preserve"> </w:t>
                  </w:r>
                  <w:proofErr w:type="spellStart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>obsługa</w:t>
                  </w:r>
                  <w:proofErr w:type="spellEnd"/>
                  <w:r w:rsidRPr="5D0200B1">
                    <w:rPr>
                      <w:rFonts w:ascii="Calibri" w:hAnsi="Calibri" w:eastAsia="Calibri" w:cs="Calibri"/>
                      <w:lang w:val="en-US"/>
                    </w:rPr>
                    <w:t xml:space="preserve"> IETF RFC 6329 IS-IS Extensions supporting IEEE 80 2.1aq SPB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0CAC0D15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22CB9735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445F91" w:rsidTr="0370D7B6" w14:paraId="3895B866" w14:textId="7774887E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05917783" w14:textId="4D903505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Serwery do wirtualizacji i system kopii zapasowych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051EA191" w14:textId="70CE7A40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Serwer do wirtualizacji - Możliwość zainstalowania dedykowanego wewnętrznego napędu LTO.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773C0465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4CA54B79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</w:tr>
            <w:tr w:rsidR="00445F91" w:rsidTr="0370D7B6" w14:paraId="253DAE4E" w14:textId="7C4D4AFA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7CC60BB5" w14:textId="5D6DB047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Serwery do wirtualizacji i system kopii zapasowych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64DCB654" w14:textId="17C32471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Karta LAN, nie zajmująca żadnego z dostępnych slotów PCI Express, wyposażona minimum w interfejsy: 2x 10Gbit SFP+, możliwość wymiany zainstalowanych interfejsów na 2x 100Gbit QSFP28 bez konieczności instalacji kart w slotach PCI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0A500353" w14:textId="77777777">
                  <w:pPr>
                    <w:spacing w:line="352" w:lineRule="auto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3C4259D9" w14:textId="77777777">
                  <w:pPr>
                    <w:spacing w:line="352" w:lineRule="auto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</w:tr>
            <w:tr w:rsidR="00445F91" w:rsidTr="0370D7B6" w14:paraId="08FFDFD9" w14:textId="587DAB94">
              <w:tc>
                <w:tcPr>
                  <w:tcW w:w="21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07D2818D" w14:textId="393B5549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Macierz dyskowa</w:t>
                  </w:r>
                </w:p>
              </w:tc>
              <w:tc>
                <w:tcPr>
                  <w:tcW w:w="2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="00445F91" w:rsidP="5D0200B1" w:rsidRDefault="00445F91" w14:paraId="5440FD10" w14:textId="22387728">
                  <w:pPr>
                    <w:ind w:hanging="10"/>
                    <w:jc w:val="both"/>
                    <w:rPr>
                      <w:rFonts w:ascii="Calibri" w:hAnsi="Calibri" w:eastAsia="Calibri" w:cs="Calibri"/>
                    </w:rPr>
                  </w:pPr>
                  <w:r w:rsidRPr="5D0200B1">
                    <w:rPr>
                      <w:rFonts w:ascii="Calibri" w:hAnsi="Calibri" w:eastAsia="Calibri" w:cs="Calibri"/>
                    </w:rPr>
                    <w:t>Możliwość instalacji minimum 8 portów SAS 12Gbit/s</w:t>
                  </w:r>
                </w:p>
              </w:tc>
              <w:tc>
                <w:tcPr>
                  <w:tcW w:w="214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16AD2239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5D0200B1" w:rsidR="00445F91" w:rsidP="5D0200B1" w:rsidRDefault="00445F91" w14:paraId="682C2D1F" w14:textId="77777777">
                  <w:pPr>
                    <w:spacing w:line="23" w:lineRule="atLeast"/>
                    <w:ind w:left="33" w:right="870" w:hanging="10"/>
                    <w:jc w:val="both"/>
                    <w:rPr>
                      <w:rFonts w:ascii="Calibri" w:hAnsi="Calibri" w:eastAsia="Calibri" w:cs="Calibri"/>
                      <w:color w:val="0078D4"/>
                      <w:sz w:val="22"/>
                      <w:szCs w:val="22"/>
                    </w:rPr>
                  </w:pPr>
                </w:p>
              </w:tc>
            </w:tr>
          </w:tbl>
          <w:p w:rsidRPr="00CB5553" w:rsidR="00F16CD9" w:rsidP="00191C41" w:rsidRDefault="00191C41" w14:paraId="4E858DBD" w14:textId="183C002D">
            <w:pPr>
              <w:shd w:val="clear" w:color="auto" w:fill="FFFFFF" w:themeFill="background1"/>
              <w:tabs>
                <w:tab w:val="right" w:pos="323"/>
              </w:tabs>
              <w:spacing w:line="276" w:lineRule="auto"/>
              <w:ind w:left="142" w:right="567"/>
              <w:jc w:val="both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      </w:t>
            </w:r>
            <w:r w:rsidRPr="170CFC4B" w:rsidR="00445F91">
              <w:rPr>
                <w:rFonts w:asciiTheme="minorHAnsi" w:hAnsiTheme="minorHAnsi" w:cstheme="minorBidi"/>
                <w:color w:val="000000" w:themeColor="text1"/>
              </w:rPr>
              <w:t>*) w przypadku kiedy funkcjonalność opisana jest w innym dokumencie należy podać adres strony producenta pod którym znajduje się opis funkcjonalności oraz dokładne miejsce na tej stronie, gdzie opisana jest oferowana funkcjonalność</w:t>
            </w:r>
            <w:r w:rsidRPr="170CFC4B" w:rsidR="7E8966EA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</w:p>
          <w:p w:rsidR="7E8966EA" w:rsidP="2B8CF930" w:rsidRDefault="00191C41" w14:paraId="0BFACB9D" w14:textId="313C3B75">
            <w:pPr>
              <w:shd w:val="clear" w:color="auto" w:fill="FFFFFF" w:themeFill="background1"/>
              <w:tabs>
                <w:tab w:val="right" w:pos="323"/>
              </w:tabs>
              <w:spacing w:line="276" w:lineRule="auto"/>
              <w:ind w:left="142" w:right="567"/>
              <w:jc w:val="both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      </w:t>
            </w:r>
            <w:r w:rsidRPr="3E599569" w:rsidR="067B68DD">
              <w:rPr>
                <w:rFonts w:asciiTheme="minorHAnsi" w:hAnsiTheme="minorHAnsi" w:cstheme="minorBidi"/>
                <w:color w:val="000000" w:themeColor="text1"/>
              </w:rPr>
              <w:t>*) Powyższa tabela stanowi kryterium oceny ofert. Szczegóły i sposób oceny zostały opisane w SWZ</w:t>
            </w:r>
            <w:r w:rsidRPr="3E599569" w:rsidR="003014E6">
              <w:rPr>
                <w:rFonts w:asciiTheme="minorHAnsi" w:hAnsiTheme="minorHAnsi" w:cstheme="minorBidi"/>
                <w:color w:val="000000" w:themeColor="text1"/>
              </w:rPr>
              <w:t xml:space="preserve"> (Punkt XVI </w:t>
            </w:r>
            <w:proofErr w:type="spellStart"/>
            <w:r w:rsidRPr="3E599569" w:rsidR="003014E6">
              <w:rPr>
                <w:rFonts w:asciiTheme="minorHAnsi" w:hAnsiTheme="minorHAnsi" w:cstheme="minorBidi"/>
                <w:color w:val="000000" w:themeColor="text1"/>
              </w:rPr>
              <w:t>ppkt</w:t>
            </w:r>
            <w:proofErr w:type="spellEnd"/>
            <w:r w:rsidRPr="3E599569" w:rsidR="003014E6">
              <w:rPr>
                <w:rFonts w:asciiTheme="minorHAnsi" w:hAnsiTheme="minorHAnsi" w:cstheme="minorBidi"/>
                <w:color w:val="000000" w:themeColor="text1"/>
              </w:rPr>
              <w:t>. 1b)</w:t>
            </w:r>
            <w:r w:rsidRPr="3E599569" w:rsidR="3E3542B0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:rsidRPr="00CB5553" w:rsidR="00F16CD9" w:rsidP="5D0200B1" w:rsidRDefault="00F16CD9" w14:paraId="754AC127" w14:textId="63C451AC">
            <w:pPr>
              <w:shd w:val="clear" w:color="auto" w:fill="FFFFFF" w:themeFill="background1"/>
              <w:tabs>
                <w:tab w:val="right" w:pos="323"/>
              </w:tabs>
              <w:spacing w:line="276" w:lineRule="auto"/>
              <w:ind w:left="142" w:right="567"/>
              <w:jc w:val="both"/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:rsidR="00F16CD9" w:rsidP="00191C41" w:rsidRDefault="00F16CD9" w14:paraId="12F8D0C4" w14:textId="54A1BCE4">
      <w:pPr>
        <w:numPr>
          <w:ilvl w:val="0"/>
          <w:numId w:val="2"/>
        </w:numPr>
        <w:shd w:val="clear" w:color="auto" w:fill="FFFFFF"/>
        <w:tabs>
          <w:tab w:val="right" w:pos="142"/>
        </w:tabs>
        <w:spacing w:after="120" w:line="276" w:lineRule="auto"/>
        <w:ind w:left="357" w:right="567" w:hanging="357"/>
        <w:jc w:val="both"/>
        <w:rPr>
          <w:rFonts w:asciiTheme="minorHAnsi" w:hAnsiTheme="minorHAnsi" w:cstheme="minorHAnsi"/>
          <w:lang w:val="x-none"/>
        </w:rPr>
      </w:pPr>
      <w:r w:rsidRPr="00CB5553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CB5553">
        <w:rPr>
          <w:rFonts w:asciiTheme="minorHAnsi" w:hAnsiTheme="minorHAnsi" w:cstheme="minorHAnsi"/>
        </w:rPr>
        <w:t xml:space="preserve"> </w:t>
      </w:r>
      <w:r w:rsidRPr="00CB5553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CB5553">
        <w:rPr>
          <w:rFonts w:asciiTheme="minorHAnsi" w:hAnsiTheme="minorHAnsi" w:cstheme="minorHAnsi"/>
        </w:rPr>
        <w:t>oraz</w:t>
      </w:r>
      <w:r w:rsidRPr="00CB5553">
        <w:rPr>
          <w:rFonts w:asciiTheme="minorHAnsi" w:hAnsiTheme="minorHAnsi" w:cstheme="minorHAnsi"/>
          <w:lang w:val="x-none"/>
        </w:rPr>
        <w:t xml:space="preserve"> z</w:t>
      </w:r>
      <w:r w:rsidRPr="00CB5553">
        <w:rPr>
          <w:rFonts w:asciiTheme="minorHAnsi" w:hAnsiTheme="minorHAnsi" w:cstheme="minorHAnsi"/>
        </w:rPr>
        <w:t> </w:t>
      </w:r>
      <w:r w:rsidRPr="00CB5553">
        <w:rPr>
          <w:rFonts w:asciiTheme="minorHAnsi" w:hAnsiTheme="minorHAnsi" w:cstheme="minorHAnsi"/>
          <w:lang w:val="x-none"/>
        </w:rPr>
        <w:t>załączonymi do niej dokumentami</w:t>
      </w:r>
      <w:r w:rsidRPr="00CB5553">
        <w:rPr>
          <w:rFonts w:asciiTheme="minorHAnsi" w:hAnsiTheme="minorHAnsi" w:cstheme="minorHAnsi"/>
        </w:rPr>
        <w:t xml:space="preserve"> szczegółowo opisującymi zakres zamówienia, </w:t>
      </w:r>
      <w:r w:rsidRPr="00CB5553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CB5553">
        <w:rPr>
          <w:rFonts w:asciiTheme="minorHAnsi" w:hAnsiTheme="minorHAnsi" w:cstheme="minorHAnsi"/>
        </w:rPr>
        <w:t xml:space="preserve">z treści powyższych dokumentów otrzymaliśmy </w:t>
      </w:r>
      <w:r w:rsidRPr="00CB5553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CB5553">
        <w:rPr>
          <w:rFonts w:asciiTheme="minorHAnsi" w:hAnsiTheme="minorHAnsi" w:cstheme="minorHAnsi"/>
        </w:rPr>
        <w:t>przygotowana oferty i </w:t>
      </w:r>
      <w:r w:rsidRPr="00CB5553">
        <w:rPr>
          <w:rFonts w:asciiTheme="minorHAnsi" w:hAnsiTheme="minorHAnsi" w:cstheme="minorHAnsi"/>
          <w:lang w:val="x-none"/>
        </w:rPr>
        <w:t xml:space="preserve">wykonania zamówienia. </w:t>
      </w:r>
    </w:p>
    <w:p w:rsidRPr="00191C41" w:rsidR="00F16CD9" w:rsidP="00191C41" w:rsidRDefault="00F16CD9" w14:paraId="024E1920" w14:textId="4A5598AA">
      <w:pPr>
        <w:numPr>
          <w:ilvl w:val="0"/>
          <w:numId w:val="2"/>
        </w:numPr>
        <w:shd w:val="clear" w:color="auto" w:fill="FFFFFF"/>
        <w:tabs>
          <w:tab w:val="right" w:pos="142"/>
        </w:tabs>
        <w:spacing w:after="120" w:line="276" w:lineRule="auto"/>
        <w:ind w:left="357" w:right="567" w:hanging="357"/>
        <w:jc w:val="both"/>
        <w:rPr>
          <w:rFonts w:asciiTheme="minorHAnsi" w:hAnsiTheme="minorHAnsi" w:cstheme="minorHAnsi"/>
          <w:lang w:val="x-none"/>
        </w:rPr>
      </w:pPr>
      <w:r w:rsidRPr="00191C41">
        <w:rPr>
          <w:rFonts w:asciiTheme="minorHAnsi" w:hAnsiTheme="minorHAnsi" w:cstheme="minorHAnsi"/>
        </w:rPr>
        <w:t>Akceptujemy warunki realizacji zamówienia określone w</w:t>
      </w:r>
      <w:r w:rsidRPr="00191C41" w:rsidR="00CB5553">
        <w:rPr>
          <w:rFonts w:asciiTheme="minorHAnsi" w:hAnsiTheme="minorHAnsi" w:cstheme="minorHAnsi"/>
        </w:rPr>
        <w:t xml:space="preserve"> projektowanych postanowieniach umowy</w:t>
      </w:r>
      <w:r w:rsidRPr="00191C41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:rsidRPr="00191C41" w:rsidR="00F16CD9" w:rsidP="00191C41" w:rsidRDefault="00F16CD9" w14:paraId="25E493F4" w14:textId="1FAE0296">
      <w:pPr>
        <w:numPr>
          <w:ilvl w:val="0"/>
          <w:numId w:val="2"/>
        </w:numPr>
        <w:shd w:val="clear" w:color="auto" w:fill="FFFFFF"/>
        <w:tabs>
          <w:tab w:val="right" w:pos="142"/>
        </w:tabs>
        <w:spacing w:after="120" w:line="276" w:lineRule="auto"/>
        <w:ind w:left="357" w:right="567" w:hanging="357"/>
        <w:jc w:val="both"/>
        <w:rPr>
          <w:rFonts w:asciiTheme="minorHAnsi" w:hAnsiTheme="minorHAnsi" w:cstheme="minorHAnsi"/>
          <w:lang w:val="x-none"/>
        </w:rPr>
      </w:pPr>
      <w:r w:rsidRPr="00191C41">
        <w:rPr>
          <w:rFonts w:asciiTheme="minorHAnsi" w:hAnsiTheme="minorHAnsi" w:cstheme="minorHAnsi"/>
        </w:rPr>
        <w:t>Akceptujemy określone w dokumentach postępowania tj. w</w:t>
      </w:r>
      <w:r w:rsidRPr="00191C41" w:rsidR="00CB5553">
        <w:rPr>
          <w:rFonts w:asciiTheme="minorHAnsi" w:hAnsiTheme="minorHAnsi" w:cstheme="minorHAnsi"/>
        </w:rPr>
        <w:t xml:space="preserve"> projektowanych postanowieniach umowy</w:t>
      </w:r>
      <w:r w:rsidRPr="00191C41">
        <w:rPr>
          <w:rFonts w:asciiTheme="minorHAnsi" w:hAnsiTheme="minorHAnsi" w:cstheme="minorHAnsi"/>
        </w:rPr>
        <w:t xml:space="preserve"> warunki płatności za przedmiot umowy. </w:t>
      </w:r>
    </w:p>
    <w:p w:rsidRPr="00191C41" w:rsidR="00F16CD9" w:rsidP="00191C41" w:rsidRDefault="00F16CD9" w14:paraId="7B46657F" w14:textId="3469C8B1">
      <w:pPr>
        <w:numPr>
          <w:ilvl w:val="0"/>
          <w:numId w:val="2"/>
        </w:numPr>
        <w:shd w:val="clear" w:color="auto" w:fill="FFFFFF"/>
        <w:tabs>
          <w:tab w:val="right" w:pos="142"/>
        </w:tabs>
        <w:spacing w:line="276" w:lineRule="auto"/>
        <w:ind w:left="357" w:right="567" w:hanging="357"/>
        <w:jc w:val="both"/>
        <w:rPr>
          <w:rFonts w:asciiTheme="minorHAnsi" w:hAnsiTheme="minorHAnsi" w:cstheme="minorHAnsi"/>
          <w:lang w:val="x-none"/>
        </w:rPr>
      </w:pPr>
      <w:r w:rsidRPr="00191C41">
        <w:rPr>
          <w:rFonts w:asciiTheme="minorHAnsi" w:hAnsiTheme="minorHAnsi" w:cstheme="minorHAnsi"/>
        </w:rPr>
        <w:t>Zamówienie</w:t>
      </w:r>
      <w:r w:rsidRPr="00191C41">
        <w:rPr>
          <w:rFonts w:asciiTheme="minorHAnsi" w:hAnsiTheme="minorHAnsi" w:cstheme="minorHAnsi"/>
          <w:lang w:val="x-none"/>
        </w:rPr>
        <w:t xml:space="preserve"> wykonamy</w:t>
      </w:r>
      <w:r w:rsidRPr="00191C41">
        <w:rPr>
          <w:rFonts w:asciiTheme="minorHAnsi" w:hAnsiTheme="minorHAnsi" w:cstheme="minorHAnsi"/>
          <w:vertAlign w:val="superscript"/>
        </w:rPr>
        <w:t>***)</w:t>
      </w:r>
      <w:r w:rsidRPr="00191C41">
        <w:rPr>
          <w:rFonts w:asciiTheme="minorHAnsi" w:hAnsiTheme="minorHAnsi" w:cstheme="minorHAnsi"/>
        </w:rPr>
        <w:t>:</w:t>
      </w:r>
    </w:p>
    <w:p w:rsidRPr="00CB5553" w:rsidR="00F16CD9" w:rsidP="00F16CD9" w:rsidRDefault="00F16CD9" w14:paraId="56B0B238" w14:textId="77777777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CB5553" w:rsidR="00F16CD9" w:rsidTr="001252F6" w14:paraId="35D00F0A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53B1FC90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color="8080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6E330191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Pr="00CB5553" w:rsidR="00F16CD9" w:rsidTr="001252F6" w14:paraId="19457A4F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09DDB3C0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CB5553" w:rsidR="00F16CD9" w:rsidTr="001252F6" w14:paraId="03F74CB8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CB5553" w:rsidR="00F16CD9" w:rsidP="001252F6" w:rsidRDefault="00F16CD9" w14:paraId="1971ECF6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F16CD9" w:rsidP="001252F6" w:rsidRDefault="00F16CD9" w14:paraId="429C5F0D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:rsidRPr="00CB5553" w:rsidR="00F16CD9" w:rsidP="00F16CD9" w:rsidRDefault="00F16CD9" w14:paraId="4146DDE6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:rsidRPr="00CB5553" w:rsidR="00F16CD9" w:rsidP="001A7AA1" w:rsidRDefault="00F16CD9" w14:paraId="56BB9D17" w14:textId="77777777">
      <w:pPr>
        <w:spacing w:line="276" w:lineRule="auto"/>
        <w:ind w:left="708" w:right="567"/>
        <w:jc w:val="both"/>
        <w:rPr>
          <w:rFonts w:eastAsia="Calibri" w:asciiTheme="minorHAnsi" w:hAnsiTheme="minorHAnsi" w:cstheme="minorHAnsi"/>
          <w:iCs/>
          <w:vertAlign w:val="superscript"/>
          <w:lang w:eastAsia="en-US"/>
        </w:rPr>
      </w:pPr>
      <w:r w:rsidRPr="00CB5553">
        <w:rPr>
          <w:rFonts w:eastAsia="Calibri" w:asciiTheme="minorHAnsi" w:hAnsiTheme="minorHAnsi" w:cstheme="minorHAnsi"/>
          <w:iCs/>
          <w:lang w:eastAsia="en-US"/>
        </w:rPr>
        <w:t>Jeżeli zamówienie zostanie wykonane z udziałem podwykonawców - poniżej należy podać wykaz podwykonawców (o ile są znani, proszę podać firmy podwykonawców) oraz określić zakres zamówienia jaki w ramach każdego zadania zostanie powierzony danemu podwykonawcy.***</w:t>
      </w:r>
      <w:r w:rsidRPr="00CB5553">
        <w:rPr>
          <w:rFonts w:eastAsia="Calibri" w:asciiTheme="minorHAnsi" w:hAnsiTheme="minorHAnsi" w:cstheme="minorHAnsi"/>
          <w:iCs/>
          <w:vertAlign w:val="superscript"/>
          <w:lang w:eastAsia="en-US"/>
        </w:rPr>
        <w:t>)</w:t>
      </w:r>
    </w:p>
    <w:p w:rsidRPr="00CB5553" w:rsidR="00F16CD9" w:rsidP="00F16CD9" w:rsidRDefault="00F16CD9" w14:paraId="768661B4" w14:textId="77777777">
      <w:pPr>
        <w:spacing w:line="276" w:lineRule="auto"/>
        <w:ind w:left="142" w:right="567"/>
        <w:jc w:val="both"/>
        <w:rPr>
          <w:rFonts w:eastAsia="Calibri" w:asciiTheme="minorHAnsi" w:hAnsiTheme="minorHAnsi" w:cstheme="minorHAnsi"/>
          <w:i/>
          <w:lang w:eastAsia="en-US"/>
        </w:rPr>
      </w:pPr>
    </w:p>
    <w:p w:rsidRPr="00CB5553" w:rsidR="00F16CD9" w:rsidP="00F16CD9" w:rsidRDefault="00F16CD9" w14:paraId="1C5F3B3E" w14:textId="77777777">
      <w:pPr>
        <w:numPr>
          <w:ilvl w:val="1"/>
          <w:numId w:val="3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……..……………………………..…  część zamówienia …………..……………… (…… %)</w:t>
      </w:r>
    </w:p>
    <w:p w:rsidRPr="00CB5553" w:rsidR="00F16CD9" w:rsidP="00F16CD9" w:rsidRDefault="00F16CD9" w14:paraId="0C706EF3" w14:textId="77777777">
      <w:pPr>
        <w:numPr>
          <w:ilvl w:val="1"/>
          <w:numId w:val="3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……..……………………………..…  część zamówienia …………..……………… (…… %)</w:t>
      </w:r>
    </w:p>
    <w:p w:rsidRPr="00CB5553" w:rsidR="00F16CD9" w:rsidP="00F16CD9" w:rsidRDefault="00F16CD9" w14:paraId="505D274F" w14:textId="77777777">
      <w:pPr>
        <w:spacing w:line="276" w:lineRule="auto"/>
        <w:ind w:left="142" w:right="567" w:firstLine="142"/>
        <w:jc w:val="both"/>
        <w:rPr>
          <w:rFonts w:eastAsia="Calibri" w:asciiTheme="minorHAnsi" w:hAnsiTheme="minorHAnsi" w:cstheme="minorHAnsi"/>
          <w:b/>
          <w:lang w:eastAsia="en-US"/>
        </w:rPr>
      </w:pPr>
      <w:r w:rsidRPr="00CB5553">
        <w:rPr>
          <w:rFonts w:eastAsia="Calibri" w:asciiTheme="minorHAnsi" w:hAnsiTheme="minorHAnsi" w:cstheme="minorHAnsi"/>
          <w:b/>
          <w:lang w:eastAsia="en-US"/>
        </w:rPr>
        <w:t xml:space="preserve">  </w:t>
      </w:r>
    </w:p>
    <w:p w:rsidRPr="00CB5553" w:rsidR="00F16CD9" w:rsidP="00F16CD9" w:rsidRDefault="00F16CD9" w14:paraId="20B9E309" w14:textId="77777777">
      <w:pPr>
        <w:spacing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eastAsia="Calibri" w:asciiTheme="minorHAnsi" w:hAnsiTheme="minorHAnsi" w:cstheme="minorHAnsi"/>
          <w:b/>
          <w:lang w:eastAsia="en-US"/>
        </w:rPr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:rsidRPr="00CB5553" w:rsidR="00F16CD9" w:rsidP="00F16CD9" w:rsidRDefault="00F16CD9" w14:paraId="164781E0" w14:textId="77777777">
      <w:pPr>
        <w:spacing w:line="276" w:lineRule="auto"/>
        <w:ind w:left="142" w:right="567"/>
        <w:rPr>
          <w:rFonts w:eastAsia="Calibri" w:asciiTheme="minorHAnsi" w:hAnsiTheme="minorHAnsi" w:cstheme="minorHAnsi"/>
          <w:bCs/>
          <w:iCs/>
          <w:lang w:eastAsia="en-US"/>
        </w:rPr>
      </w:pPr>
    </w:p>
    <w:p w:rsidRPr="00567F72" w:rsidR="00567F72" w:rsidP="001A7AA1" w:rsidRDefault="00F16CD9" w14:paraId="75C2A104" w14:textId="77777777">
      <w:pPr>
        <w:numPr>
          <w:ilvl w:val="0"/>
          <w:numId w:val="2"/>
        </w:numPr>
        <w:shd w:val="clear" w:color="auto" w:fill="FFFFFF"/>
        <w:tabs>
          <w:tab w:val="right" w:pos="142"/>
        </w:tabs>
        <w:spacing w:line="276" w:lineRule="auto"/>
        <w:ind w:left="357" w:right="567" w:hanging="357"/>
        <w:jc w:val="both"/>
        <w:rPr>
          <w:rFonts w:asciiTheme="minorHAnsi" w:hAnsiTheme="minorHAnsi" w:cstheme="minorHAnsi"/>
          <w:i/>
          <w:iCs/>
        </w:rPr>
      </w:pPr>
      <w:r w:rsidRPr="00CB5553">
        <w:rPr>
          <w:rFonts w:eastAsia="Calibri" w:asciiTheme="minorHAnsi" w:hAnsiTheme="minorHAnsi" w:cstheme="minorHAnsi"/>
          <w:lang w:eastAsia="en-US"/>
        </w:rPr>
        <w:t xml:space="preserve">  </w:t>
      </w:r>
      <w:r w:rsidRPr="00567F72" w:rsidR="00567F72">
        <w:rPr>
          <w:rFonts w:asciiTheme="minorHAnsi" w:hAnsiTheme="minorHAnsi" w:cstheme="minorHAnsi"/>
        </w:rPr>
        <w:t>Oświadczamy:</w:t>
      </w:r>
    </w:p>
    <w:p w:rsidRPr="00567F72" w:rsidR="00567F72" w:rsidP="00BA7F6B" w:rsidRDefault="00567F72" w14:paraId="399CEC46" w14:textId="65A89BAE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:rsidRPr="00567F72" w:rsidR="00567F72" w:rsidP="00BA7F6B" w:rsidRDefault="00567F72" w14:paraId="54210BC6" w14:textId="03CC8082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:rsidRPr="00567F72" w:rsidR="00567F72" w:rsidP="00567F72" w:rsidRDefault="00567F72" w14:paraId="1966839D" w14:textId="0D4FEE6B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:rsidR="00F16CD9" w:rsidP="001A7AA1" w:rsidRDefault="00F16CD9" w14:paraId="61DFA992" w14:textId="05AA80CB">
      <w:pPr>
        <w:numPr>
          <w:ilvl w:val="0"/>
          <w:numId w:val="2"/>
        </w:numPr>
        <w:shd w:val="clear" w:color="auto" w:fill="FFFFFF"/>
        <w:tabs>
          <w:tab w:val="right" w:pos="142"/>
        </w:tabs>
        <w:spacing w:after="120" w:line="276" w:lineRule="auto"/>
        <w:ind w:left="357" w:right="567" w:hanging="357"/>
        <w:jc w:val="both"/>
        <w:rPr>
          <w:rFonts w:eastAsia="Calibri" w:asciiTheme="minorHAnsi" w:hAnsiTheme="minorHAnsi" w:cstheme="minorHAnsi"/>
          <w:lang w:eastAsia="en-US"/>
        </w:rPr>
      </w:pPr>
      <w:r w:rsidRPr="006908A1">
        <w:rPr>
          <w:rFonts w:eastAsia="Calibri" w:asciiTheme="minorHAnsi" w:hAnsiTheme="minorHAnsi" w:cstheme="minorHAnsi"/>
          <w:lang w:eastAsia="en-US"/>
        </w:rPr>
        <w:t xml:space="preserve">Pozostajemy związani niniejszą ofertą przez okres wskazany w specyfikacji warunków zamówienia  tj. </w:t>
      </w:r>
      <w:r w:rsidRPr="006908A1" w:rsidR="00CB5553">
        <w:rPr>
          <w:rFonts w:eastAsia="Calibri" w:asciiTheme="minorHAnsi" w:hAnsiTheme="minorHAnsi" w:cstheme="minorHAnsi"/>
          <w:b/>
          <w:lang w:eastAsia="en-US"/>
        </w:rPr>
        <w:t>9</w:t>
      </w:r>
      <w:r w:rsidRPr="006908A1">
        <w:rPr>
          <w:rFonts w:eastAsia="Calibri" w:asciiTheme="minorHAnsi" w:hAnsiTheme="minorHAnsi" w:cstheme="minorHAnsi"/>
          <w:b/>
          <w:lang w:eastAsia="en-US"/>
        </w:rPr>
        <w:t>0 dni</w:t>
      </w:r>
      <w:r w:rsidR="006908A1">
        <w:rPr>
          <w:rFonts w:eastAsia="Calibri" w:asciiTheme="minorHAnsi" w:hAnsiTheme="minorHAnsi" w:cstheme="minorHAnsi"/>
          <w:lang w:eastAsia="en-US"/>
        </w:rPr>
        <w:t>.</w:t>
      </w:r>
    </w:p>
    <w:p w:rsidRPr="001A7AA1" w:rsidR="00F16CD9" w:rsidP="001A7AA1" w:rsidRDefault="00F16CD9" w14:paraId="5C793143" w14:textId="1B9BEB8A">
      <w:pPr>
        <w:numPr>
          <w:ilvl w:val="0"/>
          <w:numId w:val="2"/>
        </w:numPr>
        <w:shd w:val="clear" w:color="auto" w:fill="FFFFFF"/>
        <w:tabs>
          <w:tab w:val="right" w:pos="142"/>
        </w:tabs>
        <w:spacing w:line="276" w:lineRule="auto"/>
        <w:ind w:left="357" w:right="567" w:hanging="357"/>
        <w:jc w:val="both"/>
        <w:rPr>
          <w:rFonts w:eastAsia="Calibri" w:asciiTheme="minorHAnsi" w:hAnsiTheme="minorHAnsi" w:cstheme="minorHAnsi"/>
          <w:lang w:eastAsia="en-US"/>
        </w:rPr>
      </w:pPr>
      <w:r w:rsidRPr="001A7AA1">
        <w:rPr>
          <w:rFonts w:eastAsia="Calibri" w:asciiTheme="minorHAnsi" w:hAnsiTheme="minorHAnsi" w:cstheme="minorHAnsi"/>
          <w:lang w:eastAsia="en-US"/>
        </w:rPr>
        <w:t>W celu zabezpieczenia niniejszej oferty zostało wniesione wadium:</w:t>
      </w:r>
    </w:p>
    <w:p w:rsidRPr="00CB5553" w:rsidR="00F16CD9" w:rsidP="2B8CF930" w:rsidRDefault="5D6377CF" w14:paraId="3063AE68" w14:textId="0B43F246">
      <w:pPr>
        <w:shd w:val="clear" w:color="auto" w:fill="FFFFFF" w:themeFill="background1"/>
        <w:spacing w:line="276" w:lineRule="auto"/>
        <w:ind w:left="567" w:right="567" w:hanging="141"/>
        <w:jc w:val="both"/>
        <w:rPr>
          <w:rFonts w:eastAsia="Calibri" w:asciiTheme="minorHAnsi" w:hAnsiTheme="minorHAnsi" w:cstheme="minorBidi"/>
          <w:lang w:eastAsia="en-US"/>
        </w:rPr>
      </w:pPr>
      <w:r w:rsidRPr="3E599569">
        <w:rPr>
          <w:rFonts w:eastAsia="Calibri" w:asciiTheme="minorHAnsi" w:hAnsiTheme="minorHAnsi" w:cstheme="minorBidi"/>
          <w:lang w:eastAsia="en-US"/>
        </w:rPr>
        <w:t>w wysokości</w:t>
      </w:r>
      <w:r w:rsidRPr="3E599569" w:rsidR="2E6696DC">
        <w:rPr>
          <w:rFonts w:eastAsia="Calibri" w:asciiTheme="minorHAnsi" w:hAnsiTheme="minorHAnsi" w:cstheme="minorBidi"/>
          <w:lang w:eastAsia="en-US"/>
        </w:rPr>
        <w:t xml:space="preserve">: </w:t>
      </w:r>
      <w:r w:rsidRPr="3E599569" w:rsidR="003014E6">
        <w:rPr>
          <w:rFonts w:eastAsia="Calibri" w:asciiTheme="minorHAnsi" w:hAnsiTheme="minorHAnsi" w:cstheme="minorBidi"/>
          <w:lang w:eastAsia="en-US"/>
        </w:rPr>
        <w:t>6</w:t>
      </w:r>
      <w:r w:rsidRPr="3E599569" w:rsidR="2E6696DC">
        <w:rPr>
          <w:rFonts w:eastAsia="Calibri" w:asciiTheme="minorHAnsi" w:hAnsiTheme="minorHAnsi" w:cstheme="minorBidi"/>
          <w:lang w:eastAsia="en-US"/>
        </w:rPr>
        <w:t>0.000,00 zł</w:t>
      </w:r>
      <w:r w:rsidRPr="3E599569" w:rsidR="68798F09">
        <w:rPr>
          <w:rFonts w:eastAsia="Calibri" w:asciiTheme="minorHAnsi" w:hAnsiTheme="minorHAnsi" w:cstheme="minorBidi"/>
          <w:lang w:eastAsia="en-US"/>
        </w:rPr>
        <w:t xml:space="preserve"> </w:t>
      </w:r>
    </w:p>
    <w:p w:rsidRPr="00CB5553" w:rsidR="00F16CD9" w:rsidP="00F16CD9" w:rsidRDefault="00F16CD9" w14:paraId="7B26A82A" w14:textId="77777777">
      <w:pPr>
        <w:shd w:val="clear" w:color="auto" w:fill="FFFFFF"/>
        <w:spacing w:line="276" w:lineRule="auto"/>
        <w:ind w:left="567" w:right="567" w:hanging="141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W formie: …………………………</w:t>
      </w:r>
    </w:p>
    <w:p w:rsidRPr="00CB5553" w:rsidR="00F16CD9" w:rsidP="00F16CD9" w:rsidRDefault="00F16CD9" w14:paraId="150E520A" w14:textId="77777777">
      <w:pPr>
        <w:shd w:val="clear" w:color="auto" w:fill="FFFFFF"/>
        <w:spacing w:line="276" w:lineRule="auto"/>
        <w:ind w:left="426" w:right="567" w:hanging="141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eastAsia="Calibri" w:asciiTheme="minorHAns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eastAsia="Calibri" w:asciiTheme="minorHAnsi" w:hAnsiTheme="minorHAnsi" w:cstheme="minorHAnsi"/>
          <w:lang w:eastAsia="en-US"/>
        </w:rPr>
        <w:t>):</w:t>
      </w:r>
    </w:p>
    <w:p w:rsidRPr="00CB5553" w:rsidR="00F16CD9" w:rsidP="00F16CD9" w:rsidRDefault="00F16CD9" w14:paraId="616E09FF" w14:textId="77777777">
      <w:pPr>
        <w:shd w:val="clear" w:color="auto" w:fill="FFFFFF"/>
        <w:spacing w:line="276" w:lineRule="auto"/>
        <w:ind w:left="567" w:right="567" w:hanging="141"/>
        <w:jc w:val="both"/>
        <w:rPr>
          <w:rFonts w:eastAsia="Calibri" w:asciiTheme="minorHAnsi" w:hAnsiTheme="minorHAnsi" w:cstheme="minorHAnsi"/>
          <w:lang w:eastAsia="en-US"/>
        </w:rPr>
      </w:pPr>
      <w:r w:rsidRPr="00CB5553">
        <w:rPr>
          <w:rFonts w:eastAsia="Calibri" w:asciiTheme="minorHAnsi" w:hAnsiTheme="minorHAnsi" w:cstheme="minorHAnsi"/>
          <w:lang w:eastAsia="en-US"/>
        </w:rPr>
        <w:t>Nazwa banku:</w:t>
      </w:r>
    </w:p>
    <w:p w:rsidRPr="00CB5553" w:rsidR="00F16CD9" w:rsidP="00F16CD9" w:rsidRDefault="00F16CD9" w14:paraId="55825699" w14:textId="77777777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hAnsiTheme="minorHAnsi" w:cstheme="minorHAnsi"/>
        </w:rPr>
      </w:pPr>
      <w:r w:rsidRPr="00CB5553">
        <w:rPr>
          <w:rFonts w:eastAsia="Calibri" w:asciiTheme="minorHAnsi" w:hAnsiTheme="minorHAnsi" w:cstheme="minorHAnsi"/>
          <w:lang w:eastAsia="en-US"/>
        </w:rPr>
        <w:t>Nr rachunku:</w:t>
      </w:r>
    </w:p>
    <w:p w:rsidRPr="00CB5553" w:rsidR="00F16CD9" w:rsidP="00F16CD9" w:rsidRDefault="00F16CD9" w14:paraId="0441190E" w14:textId="77777777">
      <w:pPr>
        <w:tabs>
          <w:tab w:val="right" w:pos="0"/>
          <w:tab w:val="lef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:rsidRPr="00CB5553" w:rsidR="00F16CD9" w:rsidP="00780126" w:rsidRDefault="00F16CD9" w14:paraId="506AF006" w14:textId="2903A2F7">
      <w:pPr>
        <w:numPr>
          <w:ilvl w:val="0"/>
          <w:numId w:val="2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283" w:right="567" w:hanging="357"/>
        <w:jc w:val="both"/>
        <w:rPr>
          <w:rFonts w:asciiTheme="minorHAnsi" w:hAnsiTheme="minorHAnsi" w:cstheme="minorBidi"/>
        </w:rPr>
      </w:pPr>
      <w:r w:rsidRPr="4B7D675A">
        <w:rPr>
          <w:rFonts w:asciiTheme="minorHAnsi" w:hAnsiTheme="minorHAnsi" w:cstheme="minorBidi"/>
        </w:rPr>
        <w:t xml:space="preserve">Oświadczam, że następujące informacje i dokumenty ……………………………………….. </w:t>
      </w:r>
      <w:r w:rsidRPr="4B7D675A">
        <w:rPr>
          <w:rFonts w:asciiTheme="minorHAnsi" w:hAnsiTheme="minorHAnsi" w:cstheme="minorBidi"/>
          <w:b/>
          <w:bCs/>
          <w:i/>
          <w:iCs/>
          <w:color w:val="000000" w:themeColor="text1"/>
        </w:rPr>
        <w:t>(wypełnić jeżeli dotyczy)</w:t>
      </w:r>
      <w:r w:rsidRPr="4B7D675A">
        <w:rPr>
          <w:rFonts w:asciiTheme="minorHAnsi" w:hAnsiTheme="minorHAnsi" w:cstheme="minorBidi"/>
          <w:b/>
          <w:bCs/>
          <w:i/>
          <w:iCs/>
          <w:color w:val="0070C0"/>
        </w:rPr>
        <w:t xml:space="preserve"> </w:t>
      </w:r>
      <w:r w:rsidRPr="4B7D675A">
        <w:rPr>
          <w:rFonts w:asciiTheme="minorHAnsi" w:hAnsiTheme="minorHAnsi" w:cstheme="minorBid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>
        <w:rPr>
          <w:rFonts w:asciiTheme="minorHAnsi" w:hAnsiTheme="minorHAnsi" w:cstheme="minorBidi"/>
        </w:rPr>
        <w:t xml:space="preserve">załączeniu </w:t>
      </w:r>
      <w:r w:rsidR="003A5B3E">
        <w:rPr>
          <w:rFonts w:asciiTheme="minorHAnsi" w:hAnsiTheme="minorHAnsi" w:cstheme="minorBidi"/>
        </w:rPr>
        <w:t xml:space="preserve">do niniejszej oferty przedstawiam </w:t>
      </w:r>
      <w:r w:rsidRPr="00780126" w:rsidR="00780126">
        <w:rPr>
          <w:rFonts w:asciiTheme="minorHAnsi" w:hAnsiTheme="minorHAnsi" w:cstheme="minorBidi"/>
          <w:b/>
          <w:bCs/>
          <w:u w:val="single"/>
        </w:rPr>
        <w:t>uzasadnienie</w:t>
      </w:r>
      <w:r w:rsidR="00780126">
        <w:rPr>
          <w:rFonts w:asciiTheme="minorHAnsi" w:hAnsiTheme="minorHAnsi" w:cstheme="minorBidi"/>
        </w:rPr>
        <w:t xml:space="preserve"> dla powyższego zastrzeżenia. </w:t>
      </w:r>
    </w:p>
    <w:p w:rsidRPr="000F71F3" w:rsidR="44944E23" w:rsidP="00191C41" w:rsidRDefault="44944E23" w14:paraId="331F0AAD" w14:textId="44CA9D39">
      <w:pPr>
        <w:numPr>
          <w:ilvl w:val="0"/>
          <w:numId w:val="2"/>
        </w:numPr>
        <w:shd w:val="clear" w:color="auto" w:fill="FFFFFF" w:themeFill="background1"/>
        <w:tabs>
          <w:tab w:val="right" w:pos="142"/>
        </w:tabs>
        <w:spacing w:line="276" w:lineRule="auto"/>
        <w:ind w:left="284" w:right="567"/>
        <w:jc w:val="both"/>
        <w:rPr>
          <w:rFonts w:eastAsia="Calibri" w:asciiTheme="minorHAnsi" w:hAnsiTheme="minorHAnsi" w:cstheme="minorHAnsi"/>
        </w:rPr>
      </w:pPr>
      <w:r w:rsidRPr="006B0980">
        <w:rPr>
          <w:rFonts w:eastAsia="Calibri" w:asciiTheme="minorHAnsi" w:hAnsiTheme="minorHAnsi" w:cstheme="minorHAnsi"/>
          <w:color w:val="000000" w:themeColor="text1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:rsidRPr="000F71F3" w:rsidR="44944E23" w:rsidP="000F71F3" w:rsidRDefault="44944E23" w14:paraId="601E1201" w14:textId="2008F5AC">
      <w:pPr>
        <w:pStyle w:val="ListParagraph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line="276" w:lineRule="auto"/>
        <w:ind w:left="924" w:right="567" w:hanging="357"/>
        <w:jc w:val="both"/>
        <w:rPr>
          <w:rFonts w:eastAsia="Calibri" w:asciiTheme="minorHAnsi" w:hAnsiTheme="minorHAnsi" w:cstheme="minorHAnsi"/>
        </w:rPr>
      </w:pPr>
      <w:r w:rsidRPr="000F71F3">
        <w:rPr>
          <w:rFonts w:eastAsia="Calibri" w:asciiTheme="minorHAnsi" w:hAnsiTheme="minorHAnsi" w:cstheme="minorHAnsi"/>
          <w:color w:val="000000" w:themeColor="text1"/>
        </w:rPr>
        <w:t>nie jesteśmy Wykonawcą wymienionym w wykazach określonych w rozporządzeniu 765/2006 i</w:t>
      </w:r>
      <w:r w:rsidRPr="000F71F3" w:rsidR="006E3EC4">
        <w:rPr>
          <w:rFonts w:eastAsia="Calibri" w:asciiTheme="minorHAnsi" w:hAnsiTheme="minorHAnsi" w:cstheme="minorHAnsi"/>
          <w:color w:val="000000" w:themeColor="text1"/>
        </w:rPr>
        <w:t xml:space="preserve"> </w:t>
      </w:r>
      <w:r w:rsidRPr="000F71F3">
        <w:rPr>
          <w:rFonts w:eastAsia="Calibri" w:asciiTheme="minorHAnsi" w:hAnsiTheme="minorHAnsi" w:cstheme="minorHAnsi"/>
          <w:color w:val="000000" w:themeColor="text1"/>
        </w:rPr>
        <w:t>rozporządzeniu 269/2014 ani wpisanym na listę na podstawie decyzji w sprawie wpisu na listę rozstrzygającej o zastosowaniu środka, o którym mowa w art. 1 pkt 3 cytowanej ustawy;</w:t>
      </w:r>
    </w:p>
    <w:p w:rsidRPr="000F71F3" w:rsidR="44944E23" w:rsidP="000F71F3" w:rsidRDefault="44944E23" w14:paraId="53B18D6B" w14:textId="24740F58">
      <w:pPr>
        <w:pStyle w:val="ListParagraph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line="276" w:lineRule="auto"/>
        <w:ind w:left="924" w:right="567" w:hanging="357"/>
        <w:jc w:val="both"/>
        <w:rPr>
          <w:rFonts w:eastAsia="Calibri" w:asciiTheme="minorHAnsi" w:hAnsiTheme="minorHAnsi" w:cstheme="minorHAnsi"/>
        </w:rPr>
      </w:pPr>
      <w:r w:rsidRPr="000F71F3">
        <w:rPr>
          <w:rFonts w:ascii="Calibri" w:hAnsi="Calibri" w:eastAsia="Calibri" w:cs="Calibri"/>
          <w:color w:val="000000" w:themeColor="text1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0F71F3">
        <w:rPr>
          <w:rFonts w:ascii="Calibri" w:hAnsi="Calibri" w:eastAsia="Calibri" w:cs="Calibri"/>
          <w:color w:val="000000" w:themeColor="text1"/>
        </w:rPr>
        <w:t>późn</w:t>
      </w:r>
      <w:proofErr w:type="spellEnd"/>
      <w:r w:rsidRPr="000F71F3">
        <w:rPr>
          <w:rFonts w:ascii="Calibri" w:hAnsi="Calibri" w:eastAsia="Calibri" w:cs="Calibri"/>
          <w:color w:val="000000" w:themeColor="text1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:rsidRPr="000F71F3" w:rsidR="44944E23" w:rsidP="00D03DD4" w:rsidRDefault="44944E23" w14:paraId="2B1BE2C7" w14:textId="6092A808">
      <w:pPr>
        <w:pStyle w:val="ListParagraph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line="276" w:lineRule="auto"/>
        <w:ind w:left="924" w:right="567" w:hanging="357"/>
        <w:jc w:val="both"/>
        <w:rPr>
          <w:rFonts w:eastAsia="Calibri" w:asciiTheme="minorHAnsi" w:hAnsiTheme="minorHAnsi" w:cstheme="minorHAnsi"/>
        </w:rPr>
      </w:pPr>
      <w:r w:rsidRPr="000F71F3">
        <w:rPr>
          <w:rFonts w:ascii="Calibri" w:hAnsi="Calibri" w:eastAsia="Calibri" w:cs="Calibri"/>
          <w:color w:val="000000" w:themeColor="text1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0F71F3">
        <w:rPr>
          <w:rFonts w:ascii="Calibri" w:hAnsi="Calibri" w:eastAsia="Calibri" w:cs="Calibri"/>
          <w:color w:val="000000" w:themeColor="text1"/>
        </w:rPr>
        <w:t>późn</w:t>
      </w:r>
      <w:proofErr w:type="spellEnd"/>
      <w:r w:rsidRPr="000F71F3">
        <w:rPr>
          <w:rFonts w:ascii="Calibri" w:hAnsi="Calibri" w:eastAsia="Calibri" w:cs="Calibri"/>
          <w:color w:val="000000" w:themeColor="text1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:rsidR="4B7D675A" w:rsidP="4B7D675A" w:rsidRDefault="4B7D675A" w14:paraId="4906EB19" w14:textId="733E80D9">
      <w:pPr>
        <w:shd w:val="clear" w:color="auto" w:fill="FFFFFF" w:themeFill="background1"/>
        <w:tabs>
          <w:tab w:val="right" w:pos="142"/>
          <w:tab w:val="num" w:pos="284"/>
        </w:tabs>
        <w:spacing w:line="276" w:lineRule="auto"/>
        <w:ind w:right="567"/>
        <w:jc w:val="both"/>
        <w:rPr>
          <w:rFonts w:ascii="Calibri" w:hAnsi="Calibri" w:eastAsia="Calibri" w:cs="Calibri"/>
        </w:rPr>
      </w:pPr>
    </w:p>
    <w:p w:rsidRPr="00D03DD4" w:rsidR="00F16CD9" w:rsidP="00D03DD4" w:rsidRDefault="73C3B3F2" w14:paraId="3186EA07" w14:textId="4A178E1D">
      <w:pPr>
        <w:numPr>
          <w:ilvl w:val="0"/>
          <w:numId w:val="2"/>
        </w:numPr>
        <w:shd w:val="clear" w:color="auto" w:fill="FFFFFF" w:themeFill="background1"/>
        <w:tabs>
          <w:tab w:val="right" w:pos="142"/>
        </w:tabs>
        <w:spacing w:line="276" w:lineRule="auto"/>
        <w:ind w:left="284" w:right="567"/>
        <w:jc w:val="both"/>
        <w:rPr>
          <w:rFonts w:ascii="Calibri" w:hAnsi="Calibri" w:eastAsia="Calibri" w:cs="Calibri"/>
        </w:rPr>
      </w:pPr>
      <w:r w:rsidRPr="3C06FED1">
        <w:rPr>
          <w:rFonts w:ascii="Calibri" w:hAnsi="Calibri" w:eastAsia="Calibri" w:cs="Calibri"/>
          <w:color w:val="000000" w:themeColor="text1"/>
        </w:rPr>
        <w:t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:rsidR="00A00FD1" w:rsidP="00191C41" w:rsidRDefault="00F16CD9" w14:paraId="3C240EE6" w14:textId="3C4D4CC3">
      <w:pPr>
        <w:numPr>
          <w:ilvl w:val="0"/>
          <w:numId w:val="2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4B7D675A">
        <w:rPr>
          <w:rFonts w:asciiTheme="minorHAnsi" w:hAnsiTheme="minorHAnsi" w:cstheme="minorBid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:rsidR="00B90C9B" w:rsidP="00DE6628" w:rsidRDefault="00B90C9B" w14:paraId="7C8698B9" w14:textId="0DC4F79B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:rsidRPr="00C86343" w:rsidR="00B90C9B" w:rsidP="00B90C9B" w:rsidRDefault="00B90C9B" w14:paraId="585BA975" w14:textId="77777777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</w:p>
    <w:p w:rsidR="0001627B" w:rsidP="00191C41" w:rsidRDefault="00F16CD9" w14:paraId="5AB88DC5" w14:textId="29B3C2A1">
      <w:pPr>
        <w:numPr>
          <w:ilvl w:val="0"/>
          <w:numId w:val="2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4B7D675A">
        <w:rPr>
          <w:rFonts w:asciiTheme="minorHAnsi" w:hAnsiTheme="minorHAnsi" w:cstheme="minorBidi"/>
        </w:rPr>
        <w:t>Wykonawca oświadcza, że jest</w:t>
      </w:r>
      <w:r w:rsidRPr="4B7D675A" w:rsidR="0001627B">
        <w:rPr>
          <w:rFonts w:asciiTheme="minorHAnsi" w:hAnsiTheme="minorHAnsi" w:cstheme="minorBidi"/>
        </w:rPr>
        <w:t>:</w:t>
      </w:r>
    </w:p>
    <w:p w:rsidR="00F408B4" w:rsidP="00F408B4" w:rsidRDefault="00F408B4" w14:paraId="703E7440" w14:textId="77777777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CB5553" w:rsidR="0001627B" w:rsidTr="6A712414" w14:paraId="02DEB1A4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  <w:bottom w:val="single" w:color="808080" w:themeColor="background1" w:themeShade="80" w:sz="2" w:space="0"/>
              <w:right w:val="single" w:color="808080" w:themeColor="background1" w:themeShade="80" w:sz="2" w:space="0"/>
            </w:tcBorders>
            <w:shd w:val="clear" w:color="auto" w:fill="auto"/>
            <w:vAlign w:val="center"/>
          </w:tcPr>
          <w:p w:rsidRPr="00CB5553" w:rsidR="0001627B" w:rsidP="001252F6" w:rsidRDefault="0001627B" w14:paraId="25C40F31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color="808080" w:themeColor="background1" w:themeShade="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6A712414" w:rsidRDefault="00F408B4" w14:paraId="6D8783F8" w14:textId="4791D521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6A712414">
              <w:rPr>
                <w:rFonts w:asciiTheme="minorHAnsi" w:hAnsiTheme="minorHAnsi" w:cstheme="minorBidi"/>
                <w:lang w:val="en-US"/>
              </w:rPr>
              <w:t>mikroprzedsiębiorc</w:t>
            </w:r>
            <w:r w:rsidRPr="6A712414" w:rsidR="00124373">
              <w:rPr>
                <w:rFonts w:asciiTheme="minorHAnsi" w:hAnsiTheme="minorHAnsi" w:cstheme="minorBidi"/>
                <w:lang w:val="en-US"/>
              </w:rPr>
              <w:t>ą</w:t>
            </w:r>
            <w:proofErr w:type="spellEnd"/>
          </w:p>
        </w:tc>
      </w:tr>
      <w:tr w:rsidRPr="00CB5553" w:rsidR="0001627B" w:rsidTr="6A712414" w14:paraId="37ACBA24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01627B" w14:paraId="34518D76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CB5553" w:rsidR="0001627B" w:rsidTr="6A712414" w14:paraId="295B83C1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  <w:bottom w:val="single" w:color="808080" w:themeColor="background1" w:themeShade="80" w:sz="2" w:space="0"/>
            </w:tcBorders>
            <w:shd w:val="clear" w:color="auto" w:fill="auto"/>
            <w:vAlign w:val="center"/>
          </w:tcPr>
          <w:p w:rsidRPr="0001627B" w:rsidR="0001627B" w:rsidP="001252F6" w:rsidRDefault="0001627B" w14:paraId="7FD961B5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124373" w14:paraId="51865444" w14:textId="73B4E0C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F408B4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Pr="00CB5553" w:rsidR="0001627B" w:rsidTr="6A712414" w14:paraId="700D86C1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01627B" w14:paraId="36DA4ECB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CB5553" w:rsidR="0001627B" w:rsidTr="6A712414" w14:paraId="57C15D29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</w:tcBorders>
            <w:shd w:val="clear" w:color="auto" w:fill="auto"/>
            <w:vAlign w:val="center"/>
          </w:tcPr>
          <w:p w:rsidRPr="00CB5553" w:rsidR="0001627B" w:rsidP="001252F6" w:rsidRDefault="0001627B" w14:paraId="51F77F1E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B5553" w:rsidR="0001627B" w:rsidP="001252F6" w:rsidRDefault="00124373" w14:paraId="1ED4760C" w14:textId="7CE7121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ś</w:t>
            </w:r>
            <w:r w:rsidR="00F408B4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:rsidR="0001627B" w:rsidP="0001627B" w:rsidRDefault="0001627B" w14:paraId="7523B639" w14:textId="301FCD94">
      <w:pPr>
        <w:pStyle w:val="ListParagraph"/>
        <w:rPr>
          <w:rFonts w:asciiTheme="minorHAnsi" w:hAnsiTheme="minorHAnsi" w:cstheme="minorHAnsi"/>
        </w:rPr>
      </w:pPr>
    </w:p>
    <w:p w:rsidR="0001627B" w:rsidP="0001627B" w:rsidRDefault="0001627B" w14:paraId="4F1E7EE1" w14:textId="77777777">
      <w:pPr>
        <w:pStyle w:val="ListParagraph"/>
        <w:rPr>
          <w:rFonts w:asciiTheme="minorHAnsi" w:hAnsiTheme="minorHAnsi" w:cstheme="minorHAnsi"/>
        </w:rPr>
      </w:pPr>
    </w:p>
    <w:p w:rsidRPr="00CB5553" w:rsidR="00F16CD9" w:rsidP="00F408B4" w:rsidRDefault="00F16CD9" w14:paraId="4199C37A" w14:textId="09EED025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</w:t>
      </w:r>
    </w:p>
    <w:p w:rsidRPr="00CB5553" w:rsidR="00F16CD9" w:rsidP="00F16CD9" w:rsidRDefault="00F16CD9" w14:paraId="42ECF843" w14:textId="404504B2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 xml:space="preserve">   </w:t>
      </w:r>
    </w:p>
    <w:p w:rsidRPr="00CB5553" w:rsidR="00F16CD9" w:rsidP="00CB5553" w:rsidRDefault="00F16CD9" w14:paraId="37CB9916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:rsidRPr="00CB5553" w:rsidR="00F16CD9" w:rsidP="00F16CD9" w:rsidRDefault="00F16CD9" w14:paraId="18BCAB66" w14:textId="5F284A8A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:rsidRPr="00A00FD1" w:rsidR="00F16CD9" w:rsidP="00F16CD9" w:rsidRDefault="00F16CD9" w14:paraId="190829B2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:rsidRPr="00A00FD1" w:rsidR="00F16CD9" w:rsidP="00F16CD9" w:rsidRDefault="00F16CD9" w14:paraId="693449A2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:rsidRPr="00CB5553" w:rsidR="00F16CD9" w:rsidP="00F16CD9" w:rsidRDefault="00F16CD9" w14:paraId="15F9BFFE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:rsidRPr="00CB5553" w:rsidR="00F16CD9" w:rsidP="00F16CD9" w:rsidRDefault="00F16CD9" w14:paraId="29473B95" w14:textId="77777777">
      <w:pPr>
        <w:rPr>
          <w:rFonts w:asciiTheme="minorHAnsi" w:hAnsiTheme="minorHAnsi" w:cstheme="minorHAnsi"/>
        </w:rPr>
      </w:pPr>
    </w:p>
    <w:p w:rsidRPr="00CB5553" w:rsidR="00F16CD9" w:rsidP="00F16CD9" w:rsidRDefault="00F16CD9" w14:paraId="2CC58179" w14:textId="77777777">
      <w:pPr>
        <w:rPr>
          <w:rFonts w:asciiTheme="minorHAnsi" w:hAnsiTheme="minorHAnsi" w:cstheme="minorHAnsi"/>
        </w:rPr>
      </w:pPr>
    </w:p>
    <w:p w:rsidRPr="00CB5553" w:rsidR="00F16CD9" w:rsidP="00F16CD9" w:rsidRDefault="00F16CD9" w14:paraId="3004B73B" w14:textId="77777777">
      <w:pPr>
        <w:rPr>
          <w:rFonts w:asciiTheme="minorHAnsi" w:hAnsiTheme="minorHAnsi" w:cstheme="minorHAnsi"/>
        </w:rPr>
      </w:pPr>
    </w:p>
    <w:p w:rsidRPr="00CB5553" w:rsidR="001252F6" w:rsidRDefault="001252F6" w14:paraId="467444ED" w14:textId="77777777">
      <w:pPr>
        <w:rPr>
          <w:rFonts w:asciiTheme="minorHAnsi" w:hAnsiTheme="minorHAnsi" w:cstheme="minorHAnsi"/>
        </w:rPr>
      </w:pPr>
    </w:p>
    <w:sectPr w:rsidRPr="00CB5553" w:rsidR="001252F6" w:rsidSect="001252F6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CA3" w:rsidP="00010BA1" w:rsidRDefault="00346CA3" w14:paraId="6B981E80" w14:textId="77777777">
      <w:r>
        <w:separator/>
      </w:r>
    </w:p>
  </w:endnote>
  <w:endnote w:type="continuationSeparator" w:id="0">
    <w:p w:rsidR="00346CA3" w:rsidP="00010BA1" w:rsidRDefault="00346CA3" w14:paraId="632BBE36" w14:textId="77777777">
      <w:r>
        <w:continuationSeparator/>
      </w:r>
    </w:p>
  </w:endnote>
  <w:endnote w:type="continuationNotice" w:id="1">
    <w:p w:rsidR="00346CA3" w:rsidRDefault="00346CA3" w14:paraId="79ADA33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2F6" w:rsidP="001252F6" w:rsidRDefault="00567F72" w14:paraId="7FCE4C9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Pr="009D5FBF" w:rsidR="001252F6" w:rsidP="001252F6" w:rsidRDefault="001252F6" w14:paraId="285D174C" w14:textId="77777777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ABF" w:rsidR="001252F6" w:rsidP="001252F6" w:rsidRDefault="001252F6" w14:paraId="1BB0F7A1" w14:textId="77777777">
    <w:pPr>
      <w:pStyle w:val="Footer"/>
      <w:rPr>
        <w:sz w:val="2"/>
      </w:rPr>
    </w:pPr>
  </w:p>
  <w:p w:rsidRPr="003A562C" w:rsidR="001252F6" w:rsidRDefault="00567F72" w14:paraId="6F18A896" w14:textId="77777777">
    <w:pPr>
      <w:pStyle w:val="Footer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:rsidRPr="00855D5B" w:rsidR="001252F6" w:rsidP="001252F6" w:rsidRDefault="001252F6" w14:paraId="20087F2D" w14:textId="7777777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CA3" w:rsidP="00010BA1" w:rsidRDefault="00346CA3" w14:paraId="6BA01FF7" w14:textId="77777777">
      <w:r>
        <w:separator/>
      </w:r>
    </w:p>
  </w:footnote>
  <w:footnote w:type="continuationSeparator" w:id="0">
    <w:p w:rsidR="00346CA3" w:rsidP="00010BA1" w:rsidRDefault="00346CA3" w14:paraId="3C4A4B8B" w14:textId="77777777">
      <w:r>
        <w:continuationSeparator/>
      </w:r>
    </w:p>
  </w:footnote>
  <w:footnote w:type="continuationNotice" w:id="1">
    <w:p w:rsidR="00346CA3" w:rsidRDefault="00346CA3" w14:paraId="1BC3C39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AB3" w:rsidR="001252F6" w:rsidP="001252F6" w:rsidRDefault="00567F72" w14:paraId="3FF615B8" w14:textId="77777777">
    <w:pPr>
      <w:pStyle w:val="Header"/>
      <w:rPr>
        <w:b/>
      </w:rPr>
    </w:pPr>
    <w:r>
      <w:rPr>
        <w:b/>
      </w:rPr>
      <w:t>OR-10.271.134.2014</w:t>
    </w:r>
  </w:p>
  <w:p w:rsidR="001252F6" w:rsidRDefault="001252F6" w14:paraId="5EAC12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52F6" w:rsidP="001252F6" w:rsidRDefault="00567F72" w14:paraId="4D8A7BEF" w14:textId="77777777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703E4" w:rsidR="001252F6" w:rsidP="001252F6" w:rsidRDefault="001252F6" w14:paraId="54C163C7" w14:textId="77777777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 w:eastAsia="Times New Roman" w:cs="Times New Roman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2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6"/>
  </w:num>
  <w:num w:numId="2" w16cid:durableId="2050831975">
    <w:abstractNumId w:val="13"/>
  </w:num>
  <w:num w:numId="3" w16cid:durableId="1026785239">
    <w:abstractNumId w:val="3"/>
  </w:num>
  <w:num w:numId="4" w16cid:durableId="283731181">
    <w:abstractNumId w:val="8"/>
  </w:num>
  <w:num w:numId="5" w16cid:durableId="1855725414">
    <w:abstractNumId w:val="7"/>
  </w:num>
  <w:num w:numId="6" w16cid:durableId="1817606734">
    <w:abstractNumId w:val="1"/>
  </w:num>
  <w:num w:numId="7" w16cid:durableId="1680543738">
    <w:abstractNumId w:val="5"/>
  </w:num>
  <w:num w:numId="8" w16cid:durableId="1571496068">
    <w:abstractNumId w:val="0"/>
  </w:num>
  <w:num w:numId="9" w16cid:durableId="1012872940">
    <w:abstractNumId w:val="9"/>
  </w:num>
  <w:num w:numId="10" w16cid:durableId="2062055043">
    <w:abstractNumId w:val="10"/>
  </w:num>
  <w:num w:numId="11" w16cid:durableId="1298949640">
    <w:abstractNumId w:val="2"/>
  </w:num>
  <w:num w:numId="12" w16cid:durableId="1629318612">
    <w:abstractNumId w:val="4"/>
  </w:num>
  <w:num w:numId="13" w16cid:durableId="828130097">
    <w:abstractNumId w:val="12"/>
  </w:num>
  <w:num w:numId="14" w16cid:durableId="205187975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0F71F3"/>
    <w:rsid w:val="00124373"/>
    <w:rsid w:val="001252F6"/>
    <w:rsid w:val="00145D35"/>
    <w:rsid w:val="00191C41"/>
    <w:rsid w:val="0019485E"/>
    <w:rsid w:val="001A7AA1"/>
    <w:rsid w:val="0028167A"/>
    <w:rsid w:val="00286E8D"/>
    <w:rsid w:val="002A5927"/>
    <w:rsid w:val="002D2852"/>
    <w:rsid w:val="002E2A54"/>
    <w:rsid w:val="003014E6"/>
    <w:rsid w:val="0032355B"/>
    <w:rsid w:val="00346CA3"/>
    <w:rsid w:val="003A5B3E"/>
    <w:rsid w:val="00445F91"/>
    <w:rsid w:val="00467EF5"/>
    <w:rsid w:val="004750FB"/>
    <w:rsid w:val="00525A52"/>
    <w:rsid w:val="00567F72"/>
    <w:rsid w:val="006479D8"/>
    <w:rsid w:val="006908A1"/>
    <w:rsid w:val="006B0980"/>
    <w:rsid w:val="006B6DF9"/>
    <w:rsid w:val="006E00C0"/>
    <w:rsid w:val="006E3EC4"/>
    <w:rsid w:val="0073594E"/>
    <w:rsid w:val="00747168"/>
    <w:rsid w:val="00780126"/>
    <w:rsid w:val="008213BB"/>
    <w:rsid w:val="00827576"/>
    <w:rsid w:val="008B349C"/>
    <w:rsid w:val="009A0F7B"/>
    <w:rsid w:val="009A7B16"/>
    <w:rsid w:val="009B3345"/>
    <w:rsid w:val="00A00FD1"/>
    <w:rsid w:val="00AC7068"/>
    <w:rsid w:val="00B75528"/>
    <w:rsid w:val="00B90C9B"/>
    <w:rsid w:val="00BA7F6B"/>
    <w:rsid w:val="00BD7FD2"/>
    <w:rsid w:val="00C5358D"/>
    <w:rsid w:val="00C86343"/>
    <w:rsid w:val="00C95331"/>
    <w:rsid w:val="00CB5553"/>
    <w:rsid w:val="00D03DD4"/>
    <w:rsid w:val="00D85856"/>
    <w:rsid w:val="00DE6628"/>
    <w:rsid w:val="00EE549A"/>
    <w:rsid w:val="00EF4A19"/>
    <w:rsid w:val="00F16CD9"/>
    <w:rsid w:val="00F408B4"/>
    <w:rsid w:val="00F63584"/>
    <w:rsid w:val="0370D7B6"/>
    <w:rsid w:val="067B68DD"/>
    <w:rsid w:val="0DA384F7"/>
    <w:rsid w:val="0F5118A4"/>
    <w:rsid w:val="106B096F"/>
    <w:rsid w:val="12D6CEB6"/>
    <w:rsid w:val="170CFC4B"/>
    <w:rsid w:val="1C8C5C1D"/>
    <w:rsid w:val="1C906862"/>
    <w:rsid w:val="2263211E"/>
    <w:rsid w:val="27418F6B"/>
    <w:rsid w:val="2B8CF930"/>
    <w:rsid w:val="2E6696DC"/>
    <w:rsid w:val="3928BA00"/>
    <w:rsid w:val="39412305"/>
    <w:rsid w:val="3A73809D"/>
    <w:rsid w:val="3C06FED1"/>
    <w:rsid w:val="3D8C80AC"/>
    <w:rsid w:val="3E3542B0"/>
    <w:rsid w:val="3E599569"/>
    <w:rsid w:val="420115C3"/>
    <w:rsid w:val="426F2568"/>
    <w:rsid w:val="44944E23"/>
    <w:rsid w:val="4738DB48"/>
    <w:rsid w:val="4B7D675A"/>
    <w:rsid w:val="57FE5FA3"/>
    <w:rsid w:val="5A673CFB"/>
    <w:rsid w:val="5D0200B1"/>
    <w:rsid w:val="5D6377CF"/>
    <w:rsid w:val="5DE457BF"/>
    <w:rsid w:val="634DAB9C"/>
    <w:rsid w:val="68798F09"/>
    <w:rsid w:val="6A712414"/>
    <w:rsid w:val="6F205F45"/>
    <w:rsid w:val="708605ED"/>
    <w:rsid w:val="7349F1A1"/>
    <w:rsid w:val="735C8DF3"/>
    <w:rsid w:val="73C3B3F2"/>
    <w:rsid w:val="768F5E49"/>
    <w:rsid w:val="7B813D0D"/>
    <w:rsid w:val="7E8966EA"/>
    <w:rsid w:val="7E92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C002"/>
  <w15:chartTrackingRefBased/>
  <w15:docId w15:val="{BCCA19C7-2DF5-4562-B0FF-D0257C438B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6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FooterChar" w:customStyle="1">
    <w:name w:val="Footer Char"/>
    <w:basedOn w:val="DefaultParagraphFont"/>
    <w:link w:val="Footer"/>
    <w:uiPriority w:val="99"/>
    <w:rsid w:val="00F16CD9"/>
    <w:rPr>
      <w:rFonts w:ascii="Times New Roman" w:hAnsi="Times New Roman" w:eastAsia="Times New Roman" w:cs="Times New Roman"/>
      <w:sz w:val="24"/>
      <w:szCs w:val="20"/>
      <w:lang w:val="x-none" w:eastAsia="pl-PL"/>
    </w:rPr>
  </w:style>
  <w:style w:type="character" w:styleId="PageNumber">
    <w:name w:val="page number"/>
    <w:basedOn w:val="DefaultParagraphFont"/>
    <w:rsid w:val="00F16CD9"/>
  </w:style>
  <w:style w:type="paragraph" w:styleId="Header">
    <w:name w:val="header"/>
    <w:basedOn w:val="Normal"/>
    <w:link w:val="HeaderChar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styleId="HeaderChar" w:customStyle="1">
    <w:name w:val="Header Char"/>
    <w:basedOn w:val="DefaultParagraphFont"/>
    <w:link w:val="Header"/>
    <w:uiPriority w:val="99"/>
    <w:rsid w:val="00F16CD9"/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paragraph" w:styleId="paragraph" w:customStyle="1">
    <w:name w:val="paragraph"/>
    <w:basedOn w:val="Normal"/>
    <w:rsid w:val="00F16CD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F16CD9"/>
  </w:style>
  <w:style w:type="character" w:styleId="eop" w:customStyle="1">
    <w:name w:val="eop"/>
    <w:basedOn w:val="DefaultParagraphFont"/>
    <w:rsid w:val="00F16CD9"/>
  </w:style>
  <w:style w:type="character" w:styleId="spellingerror" w:customStyle="1">
    <w:name w:val="spellingerror"/>
    <w:basedOn w:val="DefaultParagraphFont"/>
    <w:rsid w:val="00F16CD9"/>
  </w:style>
  <w:style w:type="paragraph" w:styleId="ListParagraph">
    <w:name w:val="List Paragraph"/>
    <w:basedOn w:val="Normal"/>
    <w:uiPriority w:val="34"/>
    <w:qFormat/>
    <w:rsid w:val="00010BA1"/>
    <w:pPr>
      <w:ind w:left="720"/>
      <w:contextualSpacing/>
    </w:pPr>
  </w:style>
  <w:style w:type="paragraph" w:styleId="Zwykytekst1" w:customStyle="1">
    <w:name w:val="Zwykły tekst1"/>
    <w:basedOn w:val="Normal"/>
    <w:rsid w:val="00567F72"/>
    <w:pPr>
      <w:suppressAutoHyphens/>
    </w:pPr>
    <w:rPr>
      <w:rFonts w:ascii="Courier New" w:hAnsi="Courier New" w:eastAsia="Calibri" w:cs="Courier New"/>
      <w:sz w:val="20"/>
      <w:szCs w:val="20"/>
      <w:lang w:eastAsia="ar-SA"/>
    </w:rPr>
  </w:style>
  <w:style w:type="character" w:styleId="bcx2" w:customStyle="1">
    <w:name w:val="bcx2"/>
    <w:basedOn w:val="DefaultParagraphFont"/>
    <w:rsid w:val="00B90C9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rod.ceidg.gov.p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ms.ms.gov.pl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sip.lex.pl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cdca29c1-6cc6-4f09-8463-6f7c88dd3af5"/>
  </ds:schemaRefs>
</ds:datastoreItem>
</file>

<file path=customXml/itemProps2.xml><?xml version="1.0" encoding="utf-8"?>
<ds:datastoreItem xmlns:ds="http://schemas.openxmlformats.org/officeDocument/2006/customXml" ds:itemID="{62966110-222E-4A2B-A216-C9D6BBDA91FB}"/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1470</Words>
  <Characters>8379</Characters>
  <Application>Microsoft Office Word</Application>
  <DocSecurity>4</DocSecurity>
  <Lines>69</Lines>
  <Paragraphs>19</Paragraphs>
  <ScaleCrop>false</ScaleCrop>
  <Company/>
  <LinksUpToDate>false</LinksUpToDate>
  <CharactersWithSpaces>9830</CharactersWithSpaces>
  <SharedDoc>false</SharedDoc>
  <HLinks>
    <vt:vector size="18" baseType="variant"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21</cp:revision>
  <cp:lastPrinted>2021-04-08T03:15:00Z</cp:lastPrinted>
  <dcterms:created xsi:type="dcterms:W3CDTF">2022-12-23T00:59:00Z</dcterms:created>
  <dcterms:modified xsi:type="dcterms:W3CDTF">2023-01-09T19:02:00Z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