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084"/>
      </w:tblGrid>
      <w:tr w:rsidR="00D51BBD" w:rsidRPr="007321F5" w14:paraId="27565027" w14:textId="77777777" w:rsidTr="00D51BBD">
        <w:trPr>
          <w:jc w:val="center"/>
        </w:trPr>
        <w:tc>
          <w:tcPr>
            <w:tcW w:w="2651" w:type="dxa"/>
            <w:shd w:val="clear" w:color="auto" w:fill="auto"/>
          </w:tcPr>
          <w:p w14:paraId="47996170" w14:textId="797DE8DC" w:rsidR="00D51BBD" w:rsidRPr="007321F5" w:rsidRDefault="00D51BBD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72CD433D" wp14:editId="31FE07CC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623BDD47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2DA4D399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44435F83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DF4D53">
        <w:rPr>
          <w:rFonts w:cstheme="minorHAnsi"/>
          <w:b/>
          <w:sz w:val="24"/>
          <w:szCs w:val="24"/>
        </w:rPr>
        <w:t>20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5DC2A985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DF4D53" w:rsidRPr="00DF4D53">
        <w:rPr>
          <w:rFonts w:ascii="Calibri" w:hAnsi="Calibri" w:cs="Calibri"/>
          <w:b/>
          <w:bCs/>
          <w:sz w:val="24"/>
          <w:szCs w:val="24"/>
        </w:rPr>
        <w:t>Remont chodników na ul. Słowackiego i Moniuszki w miejscowości Drezdenko</w:t>
      </w:r>
      <w:r w:rsidR="00B06304">
        <w:rPr>
          <w:sz w:val="15"/>
          <w:szCs w:val="15"/>
        </w:rPr>
        <w:t xml:space="preserve"> 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>art. 109 ust. 1 pkt. 4, 5, 7  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A259E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7ABB-88E5-46AA-9360-2E7FC10A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119</cp:revision>
  <cp:lastPrinted>2016-07-26T10:32:00Z</cp:lastPrinted>
  <dcterms:created xsi:type="dcterms:W3CDTF">2016-10-17T11:42:00Z</dcterms:created>
  <dcterms:modified xsi:type="dcterms:W3CDTF">2023-09-07T11:26:00Z</dcterms:modified>
</cp:coreProperties>
</file>