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>Załącznik nr 1</w:t>
      </w:r>
      <w:r w:rsidR="001E73CF">
        <w:rPr>
          <w:rFonts w:ascii="Cambria" w:hAnsi="Cambria" w:cs="Arial"/>
          <w:b/>
          <w:bCs/>
          <w:sz w:val="22"/>
          <w:szCs w:val="22"/>
        </w:rPr>
        <w:t>A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777F69">
        <w:rPr>
          <w:rFonts w:asciiTheme="majorHAnsi" w:hAnsiTheme="majorHAnsi"/>
        </w:rPr>
        <w:t>8</w:t>
      </w:r>
      <w:r w:rsidR="00534AA8">
        <w:rPr>
          <w:rFonts w:asciiTheme="majorHAnsi" w:hAnsiTheme="majorHAnsi"/>
        </w:rPr>
        <w:t>.202</w:t>
      </w:r>
      <w:r w:rsidR="00BF590F">
        <w:rPr>
          <w:rFonts w:asciiTheme="majorHAnsi" w:hAnsiTheme="majorHAnsi"/>
        </w:rPr>
        <w:t>2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1E73CF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Kosztorys ofertowy –</w:t>
      </w:r>
      <w:r w:rsidR="00B109D0">
        <w:rPr>
          <w:rFonts w:ascii="Cambria" w:hAnsi="Cambria" w:cs="Arial"/>
          <w:b/>
          <w:bCs/>
          <w:sz w:val="22"/>
          <w:szCs w:val="22"/>
        </w:rPr>
        <w:t xml:space="preserve"> rozbicie wartość oferty dotyczącej Części Nr 2 na poszczególne obiekty na których będą realizowane prace remontowe</w:t>
      </w:r>
      <w:r w:rsidR="004910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C0CB0">
        <w:rPr>
          <w:rFonts w:ascii="Cambria" w:hAnsi="Cambria" w:cs="Arial"/>
          <w:b/>
          <w:bCs/>
          <w:sz w:val="22"/>
          <w:szCs w:val="22"/>
        </w:rPr>
        <w:t xml:space="preserve">– </w:t>
      </w:r>
      <w:r w:rsidR="00AC0CB0" w:rsidRPr="00AC0CB0">
        <w:rPr>
          <w:rFonts w:ascii="Cambria" w:hAnsi="Cambria" w:cs="Arial"/>
          <w:b/>
          <w:bCs/>
          <w:sz w:val="22"/>
          <w:szCs w:val="22"/>
          <w:u w:val="single"/>
        </w:rPr>
        <w:t>załącznik do ofert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617E6D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 oraz prace remontowe na innych obiektach</w:t>
      </w:r>
      <w:r w:rsidRPr="006F495B">
        <w:rPr>
          <w:rFonts w:asciiTheme="majorHAnsi" w:hAnsiTheme="majorHAnsi"/>
          <w:sz w:val="22"/>
          <w:szCs w:val="22"/>
        </w:rPr>
        <w:t>"</w:t>
      </w: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AC0CB0" w:rsidRPr="000D18C2" w:rsidRDefault="00AC0CB0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C32CE0" w:rsidRPr="00C32CE0">
        <w:rPr>
          <w:rFonts w:asciiTheme="majorHAnsi" w:hAnsiTheme="majorHAnsi" w:cstheme="minorHAnsi"/>
          <w:b/>
          <w:bCs/>
          <w:sz w:val="22"/>
          <w:szCs w:val="22"/>
        </w:rPr>
        <w:t>w zakresie części 2</w:t>
      </w:r>
      <w:r w:rsidR="00B109D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p w:rsidR="008968DB" w:rsidRPr="000D18C2" w:rsidRDefault="008968DB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758"/>
        <w:gridCol w:w="1985"/>
        <w:gridCol w:w="1134"/>
        <w:gridCol w:w="1899"/>
      </w:tblGrid>
      <w:tr w:rsidR="000D18C2" w:rsidRPr="000D18C2" w:rsidTr="0053113A">
        <w:trPr>
          <w:jc w:val="center"/>
        </w:trPr>
        <w:tc>
          <w:tcPr>
            <w:tcW w:w="9776" w:type="dxa"/>
            <w:gridSpan w:val="4"/>
          </w:tcPr>
          <w:p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:rsidTr="00AC0CB0">
        <w:trPr>
          <w:trHeight w:val="674"/>
          <w:jc w:val="center"/>
        </w:trPr>
        <w:tc>
          <w:tcPr>
            <w:tcW w:w="4758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B109D0" w:rsidP="006D43C1">
            <w:pPr>
              <w:pStyle w:val="Tekstpodstawowywcity"/>
              <w:spacing w:line="360" w:lineRule="auto"/>
              <w:ind w:firstLine="0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Opis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899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:rsidTr="00AC0CB0">
        <w:trPr>
          <w:jc w:val="center"/>
        </w:trPr>
        <w:tc>
          <w:tcPr>
            <w:tcW w:w="4758" w:type="dxa"/>
            <w:vMerge/>
            <w:shd w:val="clear" w:color="auto" w:fill="D9D9D9" w:themeFill="background1" w:themeFillShade="D9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1899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:rsidTr="00AC0CB0">
        <w:trPr>
          <w:trHeight w:val="129"/>
          <w:jc w:val="center"/>
        </w:trPr>
        <w:tc>
          <w:tcPr>
            <w:tcW w:w="4758" w:type="dxa"/>
            <w:vMerge/>
            <w:shd w:val="clear" w:color="auto" w:fill="D9D9D9" w:themeFill="background1" w:themeFillShade="D9"/>
          </w:tcPr>
          <w:p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020F84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020F84" w:rsidRPr="000D18C2" w:rsidRDefault="00B109D0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Część II</w:t>
            </w:r>
          </w:p>
        </w:tc>
        <w:tc>
          <w:tcPr>
            <w:tcW w:w="1985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E730AF">
        <w:trPr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W tym:</w:t>
            </w: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Pr="006D43C1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0"/>
              </w:rPr>
            </w:pPr>
            <w:r w:rsidRPr="006D43C1">
              <w:rPr>
                <w:rFonts w:asciiTheme="majorHAnsi" w:hAnsiTheme="majorHAnsi" w:cstheme="minorHAnsi"/>
                <w:bCs/>
                <w:i/>
                <w:sz w:val="20"/>
              </w:rPr>
              <w:t>2.1 Malowanie kancelarii Siemiatycze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2.2 Malowanie kancelarii i boazerii Kadłub: Tołwin 75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2.3 Malowanie kancelarii Wygoda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2.4 Malowanie kancelarii Radziwiłłówka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2.5 Malowanie kancelarii Mętna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2.6 Malowanie kancelarii Dąbrowa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2.7 Malowanie kancelarii Koterka i Mielnik oraz renowacja szalówki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2.8 Malowanie kancelarii Dubno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2.9 Malowanie kancelarii Rogacze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6D43C1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2.10 Malowanie kancelarii Werpol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B3428C" w:rsidP="007255E8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2.11 Malowanie kancelarii</w:t>
            </w:r>
            <w:r w:rsidR="007255E8"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 i boazerii </w:t>
            </w: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Żurobice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2.12 Malowanie kancelarii i boazerii Adamowo i Wilanowo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2.13 Malowanie kancelarii i boazerii Milejczyce i Zabłocie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2.13 Naprawa podjazdów z kostki betonowej – Milejczyce ul. Szkolna 6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7255E8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2.13 Likwidacja przecieku pokrycia dachowego Milejczyce ul. Szkolna 6 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2.14 Wymiana stolarki drzwiowej –budynek gospodarcze  Adamowo – Zastawa 4A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2.15 Wymiana stolarki okiennej i drzwiowej – budynek gospodarcze Rogacze 81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B109D0" w:rsidRPr="000D18C2" w:rsidTr="00AC0CB0">
        <w:trPr>
          <w:jc w:val="center"/>
        </w:trPr>
        <w:tc>
          <w:tcPr>
            <w:tcW w:w="4758" w:type="dxa"/>
            <w:shd w:val="clear" w:color="auto" w:fill="D9D9D9" w:themeFill="background1" w:themeFillShade="D9"/>
            <w:vAlign w:val="center"/>
          </w:tcPr>
          <w:p w:rsidR="00B109D0" w:rsidRDefault="007255E8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2.16 Naprawa ogrodzenia osady Milejczyce</w:t>
            </w:r>
            <w:r w:rsidR="00777F69"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ul. Szkolna 6 i 6/1 </w:t>
            </w:r>
          </w:p>
        </w:tc>
        <w:tc>
          <w:tcPr>
            <w:tcW w:w="1985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99" w:type="dxa"/>
          </w:tcPr>
          <w:p w:rsidR="00B109D0" w:rsidRPr="000D18C2" w:rsidRDefault="00B109D0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3B" w:rsidRDefault="005A753B" w:rsidP="000D18C2">
      <w:r>
        <w:separator/>
      </w:r>
    </w:p>
  </w:endnote>
  <w:endnote w:type="continuationSeparator" w:id="0">
    <w:p w:rsidR="005A753B" w:rsidRDefault="005A753B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3B" w:rsidRDefault="005A753B" w:rsidP="000D18C2">
      <w:r>
        <w:separator/>
      </w:r>
    </w:p>
  </w:footnote>
  <w:footnote w:type="continuationSeparator" w:id="0">
    <w:p w:rsidR="005A753B" w:rsidRDefault="005A753B" w:rsidP="000D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E73CF"/>
    <w:rsid w:val="001F5BF6"/>
    <w:rsid w:val="0021697B"/>
    <w:rsid w:val="002433A8"/>
    <w:rsid w:val="002568E7"/>
    <w:rsid w:val="0026436D"/>
    <w:rsid w:val="002840C3"/>
    <w:rsid w:val="002B54F6"/>
    <w:rsid w:val="00310B1A"/>
    <w:rsid w:val="00377509"/>
    <w:rsid w:val="003954EC"/>
    <w:rsid w:val="003C2AAE"/>
    <w:rsid w:val="003C48C6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01F0"/>
    <w:rsid w:val="005A753B"/>
    <w:rsid w:val="00603D36"/>
    <w:rsid w:val="00617E6D"/>
    <w:rsid w:val="006607AC"/>
    <w:rsid w:val="006A7410"/>
    <w:rsid w:val="006D41D0"/>
    <w:rsid w:val="006D43C1"/>
    <w:rsid w:val="006E0D67"/>
    <w:rsid w:val="006F495B"/>
    <w:rsid w:val="007255E8"/>
    <w:rsid w:val="00777F69"/>
    <w:rsid w:val="007A7968"/>
    <w:rsid w:val="007B0060"/>
    <w:rsid w:val="00861384"/>
    <w:rsid w:val="00872663"/>
    <w:rsid w:val="00892FFF"/>
    <w:rsid w:val="008968DB"/>
    <w:rsid w:val="008E2983"/>
    <w:rsid w:val="00951474"/>
    <w:rsid w:val="00967817"/>
    <w:rsid w:val="00987C11"/>
    <w:rsid w:val="009C1047"/>
    <w:rsid w:val="00AC0CB0"/>
    <w:rsid w:val="00AF40A6"/>
    <w:rsid w:val="00AF6AA4"/>
    <w:rsid w:val="00B109D0"/>
    <w:rsid w:val="00B3428C"/>
    <w:rsid w:val="00B61CCF"/>
    <w:rsid w:val="00BB76BC"/>
    <w:rsid w:val="00BE552C"/>
    <w:rsid w:val="00BF07EB"/>
    <w:rsid w:val="00BF590F"/>
    <w:rsid w:val="00C0208B"/>
    <w:rsid w:val="00C32CE0"/>
    <w:rsid w:val="00CB12CC"/>
    <w:rsid w:val="00CB30F3"/>
    <w:rsid w:val="00CD546D"/>
    <w:rsid w:val="00D03411"/>
    <w:rsid w:val="00D51FFB"/>
    <w:rsid w:val="00D71341"/>
    <w:rsid w:val="00D851A8"/>
    <w:rsid w:val="00E073CD"/>
    <w:rsid w:val="00E73AA8"/>
    <w:rsid w:val="00ED3312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9</cp:revision>
  <cp:lastPrinted>2021-07-06T08:28:00Z</cp:lastPrinted>
  <dcterms:created xsi:type="dcterms:W3CDTF">2022-04-12T07:37:00Z</dcterms:created>
  <dcterms:modified xsi:type="dcterms:W3CDTF">2022-05-27T06:57:00Z</dcterms:modified>
</cp:coreProperties>
</file>