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241DB600" w:rsidR="00EC2759" w:rsidRPr="00D326A2" w:rsidRDefault="00B208DA" w:rsidP="00D326A2">
      <w:pPr>
        <w:spacing w:after="0" w:line="276" w:lineRule="auto"/>
        <w:ind w:left="34" w:right="91" w:firstLine="0"/>
        <w:jc w:val="center"/>
        <w:rPr>
          <w:b/>
          <w:color w:val="000000"/>
          <w:sz w:val="32"/>
        </w:rPr>
      </w:pPr>
      <w:bookmarkStart w:id="0" w:name="_Hlk152075376"/>
      <w:r>
        <w:rPr>
          <w:b/>
          <w:color w:val="000000"/>
          <w:sz w:val="32"/>
        </w:rPr>
        <w:t>„</w:t>
      </w:r>
      <w:r w:rsidR="00D326A2" w:rsidRPr="00D326A2">
        <w:rPr>
          <w:b/>
          <w:bCs/>
          <w:color w:val="000000"/>
          <w:sz w:val="32"/>
        </w:rPr>
        <w:t>Kompleksow</w:t>
      </w:r>
      <w:r w:rsidR="00D326A2">
        <w:rPr>
          <w:b/>
          <w:bCs/>
          <w:color w:val="000000"/>
          <w:sz w:val="32"/>
        </w:rPr>
        <w:t>a</w:t>
      </w:r>
      <w:r w:rsidR="00D326A2" w:rsidRPr="00D326A2">
        <w:rPr>
          <w:b/>
          <w:bCs/>
          <w:color w:val="000000"/>
          <w:sz w:val="32"/>
        </w:rPr>
        <w:t xml:space="preserve"> obsług</w:t>
      </w:r>
      <w:r w:rsidR="00D326A2">
        <w:rPr>
          <w:b/>
          <w:bCs/>
          <w:color w:val="000000"/>
          <w:sz w:val="32"/>
        </w:rPr>
        <w:t>a</w:t>
      </w:r>
      <w:r w:rsidR="00D326A2" w:rsidRPr="00D326A2">
        <w:rPr>
          <w:b/>
          <w:bCs/>
          <w:color w:val="000000"/>
          <w:sz w:val="32"/>
        </w:rPr>
        <w:t xml:space="preserve"> bankow</w:t>
      </w:r>
      <w:r w:rsidR="00D326A2">
        <w:rPr>
          <w:b/>
          <w:bCs/>
          <w:color w:val="000000"/>
          <w:sz w:val="32"/>
        </w:rPr>
        <w:t>a</w:t>
      </w:r>
      <w:r w:rsidR="00D326A2" w:rsidRPr="00D326A2">
        <w:rPr>
          <w:b/>
          <w:bCs/>
          <w:color w:val="000000"/>
          <w:sz w:val="32"/>
        </w:rPr>
        <w:t xml:space="preserve"> budżetu </w:t>
      </w:r>
      <w:r w:rsidR="007B2194">
        <w:rPr>
          <w:b/>
          <w:bCs/>
          <w:color w:val="000000"/>
          <w:sz w:val="32"/>
        </w:rPr>
        <w:t>Gminy</w:t>
      </w:r>
      <w:r w:rsidR="00D326A2" w:rsidRPr="00D326A2">
        <w:rPr>
          <w:b/>
          <w:bCs/>
          <w:color w:val="000000"/>
          <w:sz w:val="32"/>
        </w:rPr>
        <w:t xml:space="preserve"> Łęczyca oraz jednostek organizacyjnych </w:t>
      </w:r>
      <w:r w:rsidR="00F673D7">
        <w:rPr>
          <w:b/>
          <w:bCs/>
          <w:color w:val="000000"/>
          <w:sz w:val="32"/>
        </w:rPr>
        <w:t>Gminy</w:t>
      </w:r>
      <w:r w:rsidR="00D326A2" w:rsidRPr="00D326A2">
        <w:rPr>
          <w:b/>
          <w:color w:val="000000"/>
          <w:sz w:val="32"/>
        </w:rPr>
        <w:t xml:space="preserve"> Łęczyca w okresie  </w:t>
      </w:r>
      <w:bookmarkStart w:id="1" w:name="_Hlk152065550"/>
      <w:r w:rsidR="00D326A2" w:rsidRPr="00D326A2">
        <w:rPr>
          <w:b/>
          <w:color w:val="000000"/>
          <w:sz w:val="32"/>
        </w:rPr>
        <w:t>od 01.</w:t>
      </w:r>
      <w:r w:rsidR="007B2194">
        <w:rPr>
          <w:b/>
          <w:color w:val="000000"/>
          <w:sz w:val="32"/>
        </w:rPr>
        <w:t>06</w:t>
      </w:r>
      <w:r w:rsidR="00D326A2" w:rsidRPr="00D326A2">
        <w:rPr>
          <w:b/>
          <w:color w:val="000000"/>
          <w:sz w:val="32"/>
        </w:rPr>
        <w:t>.2024 r. do 31.0</w:t>
      </w:r>
      <w:r w:rsidR="007B2194">
        <w:rPr>
          <w:b/>
          <w:color w:val="000000"/>
          <w:sz w:val="32"/>
        </w:rPr>
        <w:t>5</w:t>
      </w:r>
      <w:r w:rsidR="00D326A2" w:rsidRPr="00D326A2">
        <w:rPr>
          <w:b/>
          <w:color w:val="000000"/>
          <w:sz w:val="32"/>
        </w:rPr>
        <w:t>.202</w:t>
      </w:r>
      <w:r w:rsidR="00E4076D">
        <w:rPr>
          <w:b/>
          <w:color w:val="000000"/>
          <w:sz w:val="32"/>
        </w:rPr>
        <w:t>7</w:t>
      </w:r>
      <w:r w:rsidR="00D326A2" w:rsidRPr="00D326A2">
        <w:rPr>
          <w:b/>
          <w:color w:val="000000"/>
          <w:sz w:val="32"/>
        </w:rPr>
        <w:t xml:space="preserve"> r</w:t>
      </w:r>
      <w:r>
        <w:rPr>
          <w:b/>
          <w:color w:val="000000"/>
          <w:sz w:val="32"/>
        </w:rPr>
        <w:t>”</w:t>
      </w:r>
      <w:r w:rsidR="00D326A2">
        <w:rPr>
          <w:b/>
          <w:color w:val="000000"/>
          <w:sz w:val="32"/>
        </w:rPr>
        <w:t>.</w:t>
      </w:r>
      <w:r>
        <w:rPr>
          <w:b/>
          <w:sz w:val="32"/>
        </w:rPr>
        <w:t xml:space="preserve"> </w:t>
      </w:r>
    </w:p>
    <w:bookmarkEnd w:id="1"/>
    <w:bookmarkEnd w:id="0"/>
    <w:p w14:paraId="0172E789" w14:textId="77777777" w:rsidR="00EC2759" w:rsidRDefault="00B208DA">
      <w:pPr>
        <w:spacing w:after="183" w:line="259" w:lineRule="auto"/>
        <w:ind w:left="0" w:right="71" w:firstLine="0"/>
        <w:jc w:val="center"/>
      </w:pPr>
      <w:r>
        <w:rPr>
          <w:color w:val="000000"/>
          <w:sz w:val="24"/>
        </w:rPr>
        <w:t xml:space="preserve"> </w:t>
      </w:r>
    </w:p>
    <w:p w14:paraId="30291576" w14:textId="400601C9" w:rsidR="00EC2759" w:rsidRPr="00782AC8" w:rsidRDefault="00B208DA">
      <w:pPr>
        <w:pStyle w:val="Nagwek2"/>
        <w:spacing w:after="219" w:line="259" w:lineRule="auto"/>
        <w:jc w:val="center"/>
        <w:rPr>
          <w:color w:val="auto"/>
        </w:rPr>
      </w:pPr>
      <w:r w:rsidRPr="00782AC8">
        <w:rPr>
          <w:b w:val="0"/>
          <w:color w:val="auto"/>
        </w:rPr>
        <w:t xml:space="preserve">Znak sprawy: </w:t>
      </w:r>
      <w:r w:rsidR="00782AC8" w:rsidRPr="00782AC8">
        <w:rPr>
          <w:b w:val="0"/>
          <w:color w:val="auto"/>
        </w:rPr>
        <w:t>GPI.271.</w:t>
      </w:r>
      <w:r w:rsidR="00957A17">
        <w:rPr>
          <w:b w:val="0"/>
          <w:color w:val="auto"/>
        </w:rPr>
        <w:t>5</w:t>
      </w:r>
      <w:r w:rsidR="00782AC8" w:rsidRPr="00782AC8">
        <w:rPr>
          <w:b w:val="0"/>
          <w:color w:val="auto"/>
        </w:rPr>
        <w:t>.2024</w:t>
      </w:r>
    </w:p>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pPr>
      <w:r>
        <w:t xml:space="preserve">Zatwierdził: </w:t>
      </w:r>
      <w:r>
        <w:rPr>
          <w:color w:val="000000"/>
          <w:sz w:val="21"/>
        </w:rPr>
        <w:t xml:space="preserve"> </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5B9AE1A5" w14:textId="362C0C15" w:rsidR="00E43CC4" w:rsidRPr="00E43CC4" w:rsidRDefault="00E43CC4" w:rsidP="00734302">
      <w:pPr>
        <w:spacing w:after="19" w:line="259" w:lineRule="auto"/>
        <w:ind w:left="4956" w:right="75" w:firstLine="708"/>
        <w:jc w:val="center"/>
        <w:rPr>
          <w:color w:val="000000"/>
        </w:rPr>
      </w:pPr>
      <w:r w:rsidRPr="00E43CC4">
        <w:rPr>
          <w:color w:val="000000"/>
        </w:rPr>
        <w:t xml:space="preserve">Łęczyca, dnia </w:t>
      </w:r>
      <w:r w:rsidR="00EA5307">
        <w:rPr>
          <w:color w:val="000000"/>
        </w:rPr>
        <w:t>0</w:t>
      </w:r>
      <w:r w:rsidR="009E680B">
        <w:rPr>
          <w:color w:val="000000"/>
        </w:rPr>
        <w:t>8</w:t>
      </w:r>
      <w:r w:rsidRPr="00E43CC4">
        <w:rPr>
          <w:color w:val="000000"/>
        </w:rPr>
        <w:t>.0</w:t>
      </w:r>
      <w:r w:rsidR="00EA5307">
        <w:rPr>
          <w:color w:val="000000"/>
        </w:rPr>
        <w:t>3</w:t>
      </w:r>
      <w:r w:rsidRPr="00E43CC4">
        <w:rPr>
          <w:color w:val="000000"/>
        </w:rPr>
        <w:t>.2024 r.</w:t>
      </w:r>
    </w:p>
    <w:p w14:paraId="5FCF6516" w14:textId="77777777" w:rsidR="00E43CC4" w:rsidRPr="00E43CC4" w:rsidRDefault="00E43CC4" w:rsidP="00734302">
      <w:pPr>
        <w:spacing w:after="19" w:line="259" w:lineRule="auto"/>
        <w:ind w:left="5664" w:right="75" w:firstLine="708"/>
        <w:rPr>
          <w:b/>
          <w:bCs/>
          <w:color w:val="000000"/>
        </w:rPr>
      </w:pPr>
      <w:r w:rsidRPr="00E43CC4">
        <w:rPr>
          <w:b/>
          <w:bCs/>
          <w:color w:val="000000"/>
        </w:rPr>
        <w:t>Wójt Gminy Łęczyca</w:t>
      </w:r>
    </w:p>
    <w:p w14:paraId="3265D748" w14:textId="261585CF" w:rsidR="00E43CC4" w:rsidRPr="00E43CC4" w:rsidRDefault="00734302" w:rsidP="00734302">
      <w:pPr>
        <w:spacing w:after="19" w:line="259" w:lineRule="auto"/>
        <w:ind w:left="0" w:right="75" w:firstLine="0"/>
        <w:rPr>
          <w:color w:val="000000"/>
        </w:rPr>
      </w:pPr>
      <w:r>
        <w:rPr>
          <w:color w:val="000000"/>
        </w:rPr>
        <w:t xml:space="preserve">                                                                                                                            </w:t>
      </w:r>
      <w:r w:rsidR="00E43CC4" w:rsidRPr="00E43CC4">
        <w:rPr>
          <w:color w:val="000000"/>
        </w:rPr>
        <w:t xml:space="preserve">    Jacek Rogoziński</w:t>
      </w:r>
    </w:p>
    <w:p w14:paraId="0800BA47" w14:textId="77777777" w:rsidR="00E43CC4" w:rsidRPr="00E43CC4" w:rsidRDefault="00E43CC4" w:rsidP="00734302">
      <w:pPr>
        <w:spacing w:after="19" w:line="259" w:lineRule="auto"/>
        <w:ind w:left="6372" w:right="75" w:firstLine="708"/>
        <w:jc w:val="center"/>
        <w:rPr>
          <w:b/>
          <w:i/>
          <w:color w:val="000000"/>
        </w:rPr>
      </w:pPr>
      <w:r w:rsidRPr="00E43CC4">
        <w:rPr>
          <w:b/>
          <w:bCs/>
          <w:i/>
          <w:iCs/>
          <w:color w:val="000000"/>
        </w:rPr>
        <w:t xml:space="preserve">   podpis na oryginale</w:t>
      </w: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7C5BEA7E" w14:textId="77777777" w:rsidR="00113E63" w:rsidRDefault="00113E63">
      <w:pPr>
        <w:spacing w:after="19" w:line="259" w:lineRule="auto"/>
        <w:ind w:left="0" w:right="75" w:firstLine="0"/>
        <w:jc w:val="center"/>
        <w:rPr>
          <w:color w:val="000000"/>
        </w:rPr>
      </w:pPr>
    </w:p>
    <w:p w14:paraId="477E5B1E"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335FB63A" w:rsidR="00EC2759" w:rsidRDefault="00B208DA">
      <w:pPr>
        <w:spacing w:after="19" w:line="259" w:lineRule="auto"/>
        <w:ind w:left="0" w:right="121" w:firstLine="0"/>
        <w:jc w:val="center"/>
      </w:pPr>
      <w:r>
        <w:rPr>
          <w:b/>
          <w:color w:val="000000"/>
        </w:rPr>
        <w:t>Ł</w:t>
      </w:r>
      <w:r w:rsidR="00D326A2">
        <w:rPr>
          <w:b/>
          <w:color w:val="000000"/>
        </w:rPr>
        <w:t>ęczyca</w:t>
      </w:r>
      <w:r>
        <w:rPr>
          <w:b/>
          <w:color w:val="000000"/>
        </w:rPr>
        <w:t xml:space="preserve">,  </w:t>
      </w:r>
      <w:r w:rsidR="00EA5307">
        <w:rPr>
          <w:b/>
          <w:color w:val="000000"/>
        </w:rPr>
        <w:t>marzec</w:t>
      </w:r>
      <w:r>
        <w:rPr>
          <w:b/>
          <w:color w:val="000000"/>
        </w:rPr>
        <w:t xml:space="preserve"> 202</w:t>
      </w:r>
      <w:r w:rsidR="007B2194">
        <w:rPr>
          <w:b/>
          <w:color w:val="000000"/>
        </w:rPr>
        <w:t>4</w:t>
      </w:r>
      <w:r>
        <w:rPr>
          <w:b/>
          <w:color w:val="000000"/>
        </w:rPr>
        <w:t xml:space="preserve"> r. </w:t>
      </w:r>
    </w:p>
    <w:p w14:paraId="79A52F9A" w14:textId="77777777" w:rsidR="00EC2759" w:rsidRDefault="00B208DA">
      <w:pPr>
        <w:spacing w:after="0" w:line="259" w:lineRule="auto"/>
        <w:ind w:left="0" w:right="75" w:firstLine="0"/>
        <w:jc w:val="center"/>
      </w:pPr>
      <w:r>
        <w:rPr>
          <w:b/>
          <w:color w:val="000000"/>
        </w:rPr>
        <w:lastRenderedPageBreak/>
        <w:t xml:space="preserve"> </w:t>
      </w:r>
    </w:p>
    <w:p w14:paraId="51201C22" w14:textId="77777777" w:rsidR="00EC2759" w:rsidRDefault="00B208DA">
      <w:pPr>
        <w:pStyle w:val="Nagwek2"/>
        <w:spacing w:after="22" w:line="259" w:lineRule="auto"/>
        <w:ind w:right="124"/>
        <w:jc w:val="center"/>
      </w:pPr>
      <w:r>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t xml:space="preserve"> </w:t>
      </w:r>
    </w:p>
    <w:p w14:paraId="3A1A4660" w14:textId="77777777" w:rsidR="00EC2759" w:rsidRDefault="00B208DA">
      <w:pPr>
        <w:spacing w:after="0" w:line="259" w:lineRule="auto"/>
        <w:ind w:left="77" w:right="0" w:firstLine="0"/>
        <w:jc w:val="left"/>
      </w:pPr>
      <w:r>
        <w:rPr>
          <w:color w:val="000000"/>
          <w:sz w:val="20"/>
        </w:rPr>
        <w:lastRenderedPageBreak/>
        <w:t xml:space="preserve"> </w:t>
      </w:r>
    </w:p>
    <w:p w14:paraId="1D0A91FD" w14:textId="77777777" w:rsidR="00EC2759" w:rsidRDefault="00B208DA">
      <w:pPr>
        <w:pStyle w:val="Nagwek2"/>
        <w:ind w:left="72" w:right="183"/>
      </w:pPr>
      <w:r>
        <w:t xml:space="preserve">Rozdział I Nazwa oraz adres Zamawiającego </w:t>
      </w:r>
    </w:p>
    <w:p w14:paraId="7A0843A8" w14:textId="0DA8BED9" w:rsidR="005A0E7B" w:rsidRPr="005A0E7B" w:rsidRDefault="005A0E7B" w:rsidP="005A0E7B">
      <w:pPr>
        <w:pStyle w:val="Akapitzlist"/>
        <w:numPr>
          <w:ilvl w:val="0"/>
          <w:numId w:val="24"/>
        </w:numPr>
        <w:tabs>
          <w:tab w:val="center" w:pos="4964"/>
        </w:tabs>
        <w:spacing w:after="4" w:line="269" w:lineRule="auto"/>
        <w:ind w:right="0"/>
        <w:jc w:val="left"/>
        <w:rPr>
          <w:b/>
        </w:rPr>
      </w:pPr>
      <w:r w:rsidRPr="005A0E7B">
        <w:rPr>
          <w:b/>
        </w:rPr>
        <w:t xml:space="preserve">Nazwa oraz adres Zamawiającego. </w:t>
      </w:r>
    </w:p>
    <w:p w14:paraId="6C5BA23A" w14:textId="77777777" w:rsidR="00C93B57" w:rsidRPr="00C93B57" w:rsidRDefault="00C93B57" w:rsidP="00C93B57">
      <w:pPr>
        <w:pStyle w:val="Akapitzlist"/>
        <w:tabs>
          <w:tab w:val="center" w:pos="4964"/>
        </w:tabs>
        <w:spacing w:after="4" w:line="269" w:lineRule="auto"/>
        <w:ind w:left="717" w:right="0" w:firstLine="0"/>
        <w:jc w:val="left"/>
        <w:rPr>
          <w:rFonts w:ascii="Calibri" w:hAnsi="Calibri" w:cs="Calibri"/>
          <w:bCs/>
          <w:sz w:val="22"/>
        </w:rPr>
      </w:pPr>
      <w:bookmarkStart w:id="2" w:name="_Hlk160712817"/>
      <w:bookmarkStart w:id="3" w:name="_Hlk125317851"/>
      <w:r w:rsidRPr="00C93B57">
        <w:rPr>
          <w:rFonts w:ascii="Calibri" w:hAnsi="Calibri" w:cs="Calibri"/>
          <w:bCs/>
          <w:sz w:val="22"/>
        </w:rPr>
        <w:t>Gmina Łęczyca</w:t>
      </w:r>
    </w:p>
    <w:p w14:paraId="126B7925" w14:textId="77777777" w:rsidR="00C93B57" w:rsidRPr="00C93B57" w:rsidRDefault="00C93B57" w:rsidP="00C93B57">
      <w:pPr>
        <w:pStyle w:val="Akapitzlist"/>
        <w:tabs>
          <w:tab w:val="center" w:pos="4964"/>
        </w:tabs>
        <w:spacing w:after="4" w:line="269" w:lineRule="auto"/>
        <w:ind w:left="717" w:right="0" w:firstLine="0"/>
        <w:jc w:val="left"/>
        <w:rPr>
          <w:rFonts w:ascii="Calibri" w:hAnsi="Calibri" w:cs="Calibri"/>
          <w:bCs/>
          <w:sz w:val="22"/>
        </w:rPr>
      </w:pPr>
      <w:r w:rsidRPr="00C93B57">
        <w:rPr>
          <w:rFonts w:ascii="Calibri" w:hAnsi="Calibri" w:cs="Calibri"/>
          <w:bCs/>
          <w:sz w:val="22"/>
        </w:rPr>
        <w:t xml:space="preserve"> ul. M. Konopnickiej 14</w:t>
      </w:r>
    </w:p>
    <w:p w14:paraId="3AC45B2A" w14:textId="043381D5" w:rsidR="00C93B57" w:rsidRPr="00C93B57" w:rsidRDefault="00C93B57" w:rsidP="00C93B57">
      <w:pPr>
        <w:pStyle w:val="Akapitzlist"/>
        <w:tabs>
          <w:tab w:val="center" w:pos="4964"/>
        </w:tabs>
        <w:spacing w:after="4" w:line="269" w:lineRule="auto"/>
        <w:ind w:left="717" w:right="0" w:firstLine="0"/>
        <w:jc w:val="left"/>
        <w:rPr>
          <w:rFonts w:ascii="Calibri" w:hAnsi="Calibri" w:cs="Calibri"/>
          <w:bCs/>
          <w:sz w:val="22"/>
        </w:rPr>
      </w:pPr>
      <w:r w:rsidRPr="00C93B57">
        <w:rPr>
          <w:rFonts w:ascii="Calibri" w:hAnsi="Calibri" w:cs="Calibri"/>
          <w:bCs/>
          <w:sz w:val="22"/>
        </w:rPr>
        <w:t>99-100 Łęczyca</w:t>
      </w:r>
      <w:bookmarkEnd w:id="2"/>
      <w:r w:rsidRPr="00C93B57">
        <w:rPr>
          <w:rFonts w:ascii="Calibri" w:hAnsi="Calibri" w:cs="Calibri"/>
          <w:bCs/>
          <w:sz w:val="22"/>
        </w:rPr>
        <w:tab/>
      </w:r>
      <w:r w:rsidRPr="00C93B57">
        <w:rPr>
          <w:rFonts w:ascii="Calibri" w:hAnsi="Calibri" w:cs="Calibri"/>
          <w:bCs/>
          <w:sz w:val="22"/>
        </w:rPr>
        <w:tab/>
        <w:t xml:space="preserve">                           </w:t>
      </w:r>
      <w:r w:rsidRPr="00C93B57">
        <w:rPr>
          <w:rFonts w:ascii="Calibri" w:hAnsi="Calibri" w:cs="Calibri"/>
          <w:bCs/>
          <w:sz w:val="22"/>
        </w:rPr>
        <w:tab/>
      </w:r>
    </w:p>
    <w:p w14:paraId="19EA3CCB" w14:textId="77777777" w:rsidR="00C93B57" w:rsidRPr="00C93B57" w:rsidRDefault="00C93B57" w:rsidP="00C93B57">
      <w:pPr>
        <w:pStyle w:val="Akapitzlist"/>
        <w:tabs>
          <w:tab w:val="center" w:pos="4964"/>
        </w:tabs>
        <w:spacing w:after="4" w:line="269" w:lineRule="auto"/>
        <w:ind w:left="717" w:right="0" w:firstLine="0"/>
        <w:jc w:val="left"/>
        <w:rPr>
          <w:rFonts w:ascii="Calibri" w:hAnsi="Calibri" w:cs="Calibri"/>
          <w:bCs/>
          <w:sz w:val="22"/>
        </w:rPr>
      </w:pPr>
      <w:r w:rsidRPr="00C93B57">
        <w:rPr>
          <w:rFonts w:ascii="Calibri" w:hAnsi="Calibri" w:cs="Calibri"/>
          <w:bCs/>
          <w:sz w:val="22"/>
        </w:rPr>
        <w:t>tel.  24/388 21 17,  fax 24/388 37 65</w:t>
      </w:r>
    </w:p>
    <w:p w14:paraId="4CBBF7A9" w14:textId="4A2AE5C0" w:rsidR="00C93B57" w:rsidRDefault="00C93B57" w:rsidP="00C93B57">
      <w:pPr>
        <w:pStyle w:val="Akapitzlist"/>
        <w:tabs>
          <w:tab w:val="center" w:pos="4964"/>
        </w:tabs>
        <w:spacing w:after="4" w:line="269" w:lineRule="auto"/>
        <w:ind w:left="717" w:right="0" w:firstLine="0"/>
        <w:jc w:val="left"/>
        <w:rPr>
          <w:rFonts w:ascii="Calibri" w:hAnsi="Calibri" w:cs="Calibri"/>
          <w:bCs/>
          <w:sz w:val="22"/>
        </w:rPr>
      </w:pPr>
      <w:r w:rsidRPr="00C93B57">
        <w:rPr>
          <w:rFonts w:ascii="Calibri" w:hAnsi="Calibri" w:cs="Calibri"/>
          <w:bCs/>
          <w:sz w:val="22"/>
        </w:rPr>
        <w:t>NIP: 775 24 07 742 Regon: 611015767</w:t>
      </w:r>
    </w:p>
    <w:p w14:paraId="441E7438" w14:textId="50EDC56E"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5A316C59" w14:textId="77777777" w:rsidR="00C93B57" w:rsidRPr="00C93B57" w:rsidRDefault="00C93B57" w:rsidP="00C93B57">
      <w:pPr>
        <w:pStyle w:val="Akapitzlist"/>
        <w:tabs>
          <w:tab w:val="center" w:pos="4964"/>
        </w:tabs>
        <w:spacing w:after="4" w:line="269" w:lineRule="auto"/>
        <w:ind w:left="717"/>
        <w:jc w:val="left"/>
        <w:rPr>
          <w:rFonts w:ascii="Calibri" w:hAnsi="Calibri" w:cs="Calibri"/>
          <w:sz w:val="22"/>
          <w:u w:val="single"/>
          <w:lang w:val="en-US"/>
        </w:rPr>
      </w:pPr>
      <w:r w:rsidRPr="00C93B57">
        <w:rPr>
          <w:rFonts w:ascii="Calibri" w:hAnsi="Calibri" w:cs="Calibri"/>
          <w:sz w:val="22"/>
          <w:lang w:val="en-US"/>
        </w:rPr>
        <w:t>https://www.gminaleczyca.pl</w:t>
      </w:r>
    </w:p>
    <w:p w14:paraId="587FABBF" w14:textId="77777777" w:rsidR="00C93B57" w:rsidRPr="00C93B57" w:rsidRDefault="00C93B57" w:rsidP="00C93B57">
      <w:pPr>
        <w:pStyle w:val="Akapitzlist"/>
        <w:tabs>
          <w:tab w:val="center" w:pos="4964"/>
        </w:tabs>
        <w:spacing w:after="4" w:line="269" w:lineRule="auto"/>
        <w:ind w:left="717"/>
        <w:jc w:val="left"/>
        <w:rPr>
          <w:rFonts w:ascii="Calibri" w:hAnsi="Calibri" w:cs="Calibri"/>
          <w:sz w:val="22"/>
        </w:rPr>
      </w:pPr>
      <w:proofErr w:type="spellStart"/>
      <w:r w:rsidRPr="00C93B57">
        <w:rPr>
          <w:rFonts w:ascii="Calibri" w:hAnsi="Calibri" w:cs="Calibri"/>
          <w:sz w:val="22"/>
          <w:lang w:val="de-DE"/>
        </w:rPr>
        <w:t>e-mail</w:t>
      </w:r>
      <w:proofErr w:type="spellEnd"/>
      <w:r w:rsidRPr="00C93B57">
        <w:rPr>
          <w:rFonts w:ascii="Calibri" w:hAnsi="Calibri" w:cs="Calibri"/>
          <w:sz w:val="22"/>
          <w:lang w:val="de-DE"/>
        </w:rPr>
        <w:t>: sekretariat@gminaleczyca.pl</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15D7DE14" w14:textId="77777777" w:rsidR="00C93B57" w:rsidRPr="00C93B57" w:rsidRDefault="005A0E7B" w:rsidP="00C93B57">
      <w:pPr>
        <w:pStyle w:val="Akapitzlist"/>
        <w:tabs>
          <w:tab w:val="center" w:pos="4964"/>
        </w:tabs>
        <w:spacing w:after="4" w:line="269" w:lineRule="auto"/>
        <w:ind w:left="717" w:right="0" w:firstLine="0"/>
        <w:jc w:val="left"/>
        <w:rPr>
          <w:rFonts w:ascii="Calibri" w:hAnsi="Calibri" w:cs="Calibri"/>
          <w:b/>
          <w:bCs/>
          <w:sz w:val="22"/>
          <w:u w:val="single"/>
          <w:lang w:val="en-US"/>
        </w:rPr>
      </w:pPr>
      <w:r w:rsidRPr="00C93B57">
        <w:rPr>
          <w:rFonts w:ascii="Calibri" w:hAnsi="Calibri" w:cs="Calibri"/>
          <w:b/>
          <w:sz w:val="22"/>
        </w:rPr>
        <w:t xml:space="preserve">Adres strony internetowej, na której prowadzone jest postępowanie: </w:t>
      </w:r>
      <w:r w:rsidR="00C93B57" w:rsidRPr="00C93B57">
        <w:rPr>
          <w:rFonts w:ascii="Calibri" w:hAnsi="Calibri" w:cs="Calibri"/>
          <w:b/>
          <w:bCs/>
          <w:sz w:val="22"/>
          <w:lang w:val="en-US"/>
        </w:rPr>
        <w:t>https://platformazakupowa.pl/pn/ug_leczyca</w:t>
      </w:r>
    </w:p>
    <w:bookmarkEnd w:id="3"/>
    <w:p w14:paraId="5D07304E" w14:textId="77777777" w:rsidR="005A0E7B" w:rsidRPr="00C93B57"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C93B57" w:rsidRDefault="005A0E7B" w:rsidP="005A0E7B">
      <w:pPr>
        <w:pStyle w:val="Akapitzlist"/>
        <w:tabs>
          <w:tab w:val="center" w:pos="4964"/>
        </w:tabs>
        <w:spacing w:after="4" w:line="269" w:lineRule="auto"/>
        <w:ind w:left="717" w:right="0" w:firstLine="0"/>
        <w:rPr>
          <w:rFonts w:ascii="Calibri" w:hAnsi="Calibri" w:cs="Calibri"/>
          <w:bCs/>
          <w:sz w:val="22"/>
        </w:rPr>
      </w:pPr>
      <w:r w:rsidRPr="00C93B57">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0AD14730" w14:textId="77777777" w:rsidR="00C93B57" w:rsidRPr="00C93B57" w:rsidRDefault="00C93B57" w:rsidP="00C93B57">
      <w:pPr>
        <w:spacing w:after="0" w:line="259" w:lineRule="auto"/>
        <w:ind w:left="77" w:right="0" w:firstLine="631"/>
        <w:jc w:val="left"/>
        <w:rPr>
          <w:b/>
          <w:bCs/>
          <w:u w:val="single"/>
          <w:lang w:val="en-US"/>
        </w:rPr>
      </w:pPr>
      <w:r w:rsidRPr="00C93B57">
        <w:rPr>
          <w:b/>
          <w:bCs/>
          <w:lang w:val="en-US"/>
        </w:rPr>
        <w:t>https://platformazakupowa.pl/pn/ug_leczyca</w:t>
      </w:r>
    </w:p>
    <w:p w14:paraId="398F6AD5" w14:textId="2B50948F" w:rsidR="00EC2759" w:rsidRDefault="00EC2759">
      <w:pPr>
        <w:spacing w:after="0" w:line="259" w:lineRule="auto"/>
        <w:ind w:left="77" w:right="0" w:firstLine="0"/>
        <w:jc w:val="left"/>
      </w:pPr>
    </w:p>
    <w:p w14:paraId="3FF4D73D" w14:textId="77777777" w:rsidR="00EC2759" w:rsidRDefault="00B208DA">
      <w:pPr>
        <w:pStyle w:val="Nagwek2"/>
        <w:spacing w:after="144"/>
        <w:ind w:left="72" w:right="183"/>
      </w:pPr>
      <w:r>
        <w:t xml:space="preserve">Rozdział II Ochrona danych osobowych </w:t>
      </w:r>
    </w:p>
    <w:p w14:paraId="6266FD73" w14:textId="77777777" w:rsidR="00C93B57" w:rsidRPr="00C93B57" w:rsidRDefault="00C93B57" w:rsidP="00C93B57">
      <w:pPr>
        <w:spacing w:after="41" w:line="269" w:lineRule="auto"/>
        <w:ind w:left="355" w:right="187" w:hanging="293"/>
        <w:rPr>
          <w:color w:val="000000"/>
        </w:rPr>
      </w:pPr>
      <w:r w:rsidRPr="00C93B57">
        <w:rPr>
          <w:color w:val="000000"/>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4161E50" w14:textId="77777777" w:rsidR="00C93B57" w:rsidRPr="00C93B57" w:rsidRDefault="00C93B57" w:rsidP="00C93B57">
      <w:pPr>
        <w:spacing w:after="41" w:line="269" w:lineRule="auto"/>
        <w:ind w:left="355" w:right="187" w:hanging="293"/>
        <w:rPr>
          <w:color w:val="000000"/>
        </w:rPr>
      </w:pPr>
      <w:r w:rsidRPr="00C93B57">
        <w:rPr>
          <w:color w:val="000000"/>
        </w:rPr>
        <w:t>–  administratorem Pani/Pana danych osobowych jest: Wójt Gminy Łęczyca, 99-100 Łęczyca, ul. M.   Konopnickiej 14</w:t>
      </w:r>
      <w:r w:rsidRPr="00C93B57">
        <w:rPr>
          <w:i/>
          <w:color w:val="000000"/>
        </w:rPr>
        <w:t>;</w:t>
      </w:r>
    </w:p>
    <w:p w14:paraId="7F95AE5D" w14:textId="77777777" w:rsidR="00C93B57" w:rsidRPr="00C93B57" w:rsidRDefault="00C93B57" w:rsidP="00C93B57">
      <w:pPr>
        <w:numPr>
          <w:ilvl w:val="0"/>
          <w:numId w:val="27"/>
        </w:numPr>
        <w:spacing w:after="41" w:line="269" w:lineRule="auto"/>
        <w:ind w:right="187"/>
        <w:rPr>
          <w:color w:val="000000"/>
        </w:rPr>
      </w:pPr>
      <w:r w:rsidRPr="00C93B57">
        <w:rPr>
          <w:color w:val="000000"/>
        </w:rPr>
        <w:t xml:space="preserve">Administrator wyznaczył </w:t>
      </w:r>
      <w:r w:rsidRPr="00C93B57">
        <w:rPr>
          <w:b/>
          <w:color w:val="000000"/>
        </w:rPr>
        <w:t>Inspektora Ochrony Danych</w:t>
      </w:r>
      <w:r w:rsidRPr="00C93B57">
        <w:rPr>
          <w:color w:val="000000"/>
        </w:rPr>
        <w:t>, z którym może się Pani/Pan skontaktować w sprawach związanych z ochroną danych osobowych w następujący sposób:</w:t>
      </w:r>
    </w:p>
    <w:p w14:paraId="2C4F14AE" w14:textId="77777777" w:rsidR="00C93B57" w:rsidRPr="00C93B57" w:rsidRDefault="00C93B57" w:rsidP="00C93B57">
      <w:pPr>
        <w:numPr>
          <w:ilvl w:val="1"/>
          <w:numId w:val="27"/>
        </w:numPr>
        <w:spacing w:after="41" w:line="269" w:lineRule="auto"/>
        <w:ind w:right="187"/>
        <w:rPr>
          <w:color w:val="000000"/>
        </w:rPr>
      </w:pPr>
      <w:r w:rsidRPr="00C93B57">
        <w:rPr>
          <w:color w:val="000000"/>
        </w:rPr>
        <w:t>pod adresem poczty elektronicznej:</w:t>
      </w:r>
      <w:r w:rsidRPr="00C93B57">
        <w:rPr>
          <w:b/>
          <w:bCs/>
          <w:color w:val="000000"/>
        </w:rPr>
        <w:t xml:space="preserve"> </w:t>
      </w:r>
      <w:hyperlink r:id="rId8" w:history="1">
        <w:r w:rsidRPr="00C93B57">
          <w:rPr>
            <w:rStyle w:val="Hipercze"/>
            <w:bCs/>
          </w:rPr>
          <w:t>iod@gminaleczyca.pl</w:t>
        </w:r>
      </w:hyperlink>
      <w:r w:rsidRPr="00C93B57">
        <w:rPr>
          <w:bCs/>
          <w:color w:val="000000"/>
        </w:rPr>
        <w:t>;</w:t>
      </w:r>
    </w:p>
    <w:p w14:paraId="70D92A74" w14:textId="77777777" w:rsidR="00C93B57" w:rsidRPr="00C93B57" w:rsidRDefault="00C93B57" w:rsidP="00C93B57">
      <w:pPr>
        <w:numPr>
          <w:ilvl w:val="1"/>
          <w:numId w:val="27"/>
        </w:numPr>
        <w:spacing w:after="41" w:line="269" w:lineRule="auto"/>
        <w:ind w:right="187"/>
        <w:rPr>
          <w:i/>
          <w:color w:val="000000"/>
        </w:rPr>
      </w:pPr>
      <w:r w:rsidRPr="00C93B57">
        <w:rPr>
          <w:color w:val="000000"/>
        </w:rPr>
        <w:t>pisemnie na adres siedziby Administratora</w:t>
      </w:r>
      <w:r w:rsidRPr="00C93B57">
        <w:rPr>
          <w:b/>
          <w:color w:val="000000"/>
        </w:rPr>
        <w:t>;</w:t>
      </w:r>
      <w:r w:rsidRPr="00C93B57">
        <w:rPr>
          <w:color w:val="000000"/>
        </w:rPr>
        <w:t xml:space="preserve"> </w:t>
      </w:r>
    </w:p>
    <w:p w14:paraId="563E9CC6" w14:textId="77777777" w:rsidR="00C93B57" w:rsidRPr="00C93B57" w:rsidRDefault="00C93B57" w:rsidP="00C93B57">
      <w:pPr>
        <w:numPr>
          <w:ilvl w:val="0"/>
          <w:numId w:val="27"/>
        </w:numPr>
        <w:spacing w:after="41" w:line="269" w:lineRule="auto"/>
        <w:ind w:right="187"/>
        <w:rPr>
          <w:color w:val="000000"/>
        </w:rPr>
      </w:pPr>
      <w:r w:rsidRPr="00C93B57">
        <w:rPr>
          <w:color w:val="000000"/>
        </w:rPr>
        <w:t>Pani/Pana dane osobowe przetwarzane będą na podstawie art. 6 ust. 1 lit. c</w:t>
      </w:r>
      <w:r w:rsidRPr="00C93B57">
        <w:rPr>
          <w:i/>
          <w:color w:val="000000"/>
        </w:rPr>
        <w:t xml:space="preserve"> </w:t>
      </w:r>
      <w:r w:rsidRPr="00C93B57">
        <w:rPr>
          <w:color w:val="000000"/>
        </w:rPr>
        <w:t xml:space="preserve">RODO w związku   z przepisami ustawy z dnia 11 września 2019 r. – Prawo zamówień publicznych (Dz.U. z 2023 r. poz. 1605 z </w:t>
      </w:r>
      <w:proofErr w:type="spellStart"/>
      <w:r w:rsidRPr="00C93B57">
        <w:rPr>
          <w:color w:val="000000"/>
        </w:rPr>
        <w:t>późn</w:t>
      </w:r>
      <w:proofErr w:type="spellEnd"/>
      <w:r w:rsidRPr="00C93B57">
        <w:rPr>
          <w:color w:val="000000"/>
        </w:rPr>
        <w:t xml:space="preserve">. zm.) dalej „ustawa </w:t>
      </w:r>
      <w:proofErr w:type="spellStart"/>
      <w:r w:rsidRPr="00C93B57">
        <w:rPr>
          <w:color w:val="000000"/>
        </w:rPr>
        <w:t>Pzp</w:t>
      </w:r>
      <w:proofErr w:type="spellEnd"/>
      <w:r w:rsidRPr="00C93B57">
        <w:rPr>
          <w:color w:val="000000"/>
        </w:rPr>
        <w:t>” w celu przeprowadzenia przedmiotowego postępowania o udzielenie zamówienia publicznego oraz jego rozstrzygnięcia, jak również zawarcia umowy w sprawie zamówienia publicznego i jego archiwizacji;</w:t>
      </w:r>
    </w:p>
    <w:p w14:paraId="3B1142DA" w14:textId="77777777" w:rsidR="00C93B57" w:rsidRPr="00C93B57" w:rsidRDefault="00C93B57" w:rsidP="00C93B57">
      <w:pPr>
        <w:numPr>
          <w:ilvl w:val="0"/>
          <w:numId w:val="27"/>
        </w:numPr>
        <w:spacing w:after="41" w:line="269" w:lineRule="auto"/>
        <w:ind w:right="187"/>
        <w:rPr>
          <w:color w:val="000000"/>
        </w:rPr>
      </w:pPr>
      <w:r w:rsidRPr="00C93B57">
        <w:rPr>
          <w:color w:val="000000"/>
        </w:rPr>
        <w:t xml:space="preserve">odbiorcami Pani/Pana danych osobowych będą: </w:t>
      </w:r>
    </w:p>
    <w:p w14:paraId="203E86C1" w14:textId="77777777" w:rsidR="00C93B57" w:rsidRPr="00C93B57" w:rsidRDefault="00C93B57" w:rsidP="00C93B57">
      <w:pPr>
        <w:numPr>
          <w:ilvl w:val="1"/>
          <w:numId w:val="27"/>
        </w:numPr>
        <w:spacing w:after="41" w:line="269" w:lineRule="auto"/>
        <w:ind w:right="187"/>
        <w:rPr>
          <w:color w:val="000000"/>
        </w:rPr>
      </w:pPr>
      <w:r w:rsidRPr="00C93B57">
        <w:rPr>
          <w:color w:val="000000"/>
        </w:rPr>
        <w:t xml:space="preserve">osoby lub podmioty, którym udostępniona zostanie dokumentacja postępowania w oparciu o art. 18 oraz art. 74 ust. 1 ustawy </w:t>
      </w:r>
      <w:proofErr w:type="spellStart"/>
      <w:r w:rsidRPr="00C93B57">
        <w:rPr>
          <w:color w:val="000000"/>
        </w:rPr>
        <w:t>Pzp</w:t>
      </w:r>
      <w:proofErr w:type="spellEnd"/>
      <w:r w:rsidRPr="00C93B57">
        <w:rPr>
          <w:color w:val="000000"/>
        </w:rPr>
        <w:t>;</w:t>
      </w:r>
    </w:p>
    <w:p w14:paraId="19C460A0" w14:textId="77777777" w:rsidR="00C93B57" w:rsidRPr="00C93B57" w:rsidRDefault="00C93B57" w:rsidP="00C93B57">
      <w:pPr>
        <w:numPr>
          <w:ilvl w:val="1"/>
          <w:numId w:val="27"/>
        </w:numPr>
        <w:spacing w:after="41" w:line="269" w:lineRule="auto"/>
        <w:ind w:right="187"/>
        <w:rPr>
          <w:color w:val="000000"/>
        </w:rPr>
      </w:pPr>
      <w:r w:rsidRPr="00C93B57">
        <w:rPr>
          <w:color w:val="000000"/>
        </w:rPr>
        <w:t xml:space="preserve">firma Open </w:t>
      </w:r>
      <w:proofErr w:type="spellStart"/>
      <w:r w:rsidRPr="00C93B57">
        <w:rPr>
          <w:color w:val="000000"/>
        </w:rPr>
        <w:t>Nexus</w:t>
      </w:r>
      <w:proofErr w:type="spellEnd"/>
      <w:r w:rsidRPr="00C93B57">
        <w:rPr>
          <w:color w:val="000000"/>
        </w:rPr>
        <w:t xml:space="preserve"> sp. z o.o., z siedzibą w Poznaniu przy ul. B. Krzywoustego 3, z którą administrator zawarł umowę na obsługę Platformy Przetargowej, na której prowadzone są postępowania o udzielenie zamówienia publicznego;</w:t>
      </w:r>
    </w:p>
    <w:p w14:paraId="1DBB8AAE" w14:textId="77777777" w:rsidR="00C93B57" w:rsidRPr="00C93B57" w:rsidRDefault="00C93B57" w:rsidP="00C93B57">
      <w:pPr>
        <w:numPr>
          <w:ilvl w:val="1"/>
          <w:numId w:val="27"/>
        </w:numPr>
        <w:spacing w:after="41" w:line="269" w:lineRule="auto"/>
        <w:ind w:right="187"/>
        <w:rPr>
          <w:color w:val="000000"/>
        </w:rPr>
      </w:pPr>
      <w:r w:rsidRPr="00C93B57">
        <w:rPr>
          <w:color w:val="000000"/>
        </w:rPr>
        <w:t>podmiot uprawniony do obsługi doręczeń (Poczta Polska S.A.);</w:t>
      </w:r>
    </w:p>
    <w:p w14:paraId="3EC403A9" w14:textId="77777777" w:rsidR="00C93B57" w:rsidRPr="00C93B57" w:rsidRDefault="00C93B57" w:rsidP="00C93B57">
      <w:pPr>
        <w:numPr>
          <w:ilvl w:val="1"/>
          <w:numId w:val="27"/>
        </w:numPr>
        <w:spacing w:after="41" w:line="269" w:lineRule="auto"/>
        <w:ind w:right="187"/>
        <w:rPr>
          <w:color w:val="000000"/>
        </w:rPr>
      </w:pPr>
      <w:r w:rsidRPr="00C93B57">
        <w:rPr>
          <w:color w:val="000000"/>
        </w:rPr>
        <w:lastRenderedPageBreak/>
        <w:t>podmioty, z którymi administrator zawarł umowę na świadczenie usług serwisowych dla użytkowanych w Gminie Łęczyca systemów informatycznych;</w:t>
      </w:r>
    </w:p>
    <w:p w14:paraId="00CD4B0E" w14:textId="77777777" w:rsidR="00C93B57" w:rsidRPr="00C93B57" w:rsidRDefault="00C93B57" w:rsidP="00C93B57">
      <w:pPr>
        <w:numPr>
          <w:ilvl w:val="0"/>
          <w:numId w:val="27"/>
        </w:numPr>
        <w:spacing w:after="41" w:line="269" w:lineRule="auto"/>
        <w:ind w:right="187"/>
        <w:rPr>
          <w:b/>
          <w:i/>
          <w:color w:val="000000"/>
        </w:rPr>
      </w:pPr>
      <w:r w:rsidRPr="00C93B57">
        <w:rPr>
          <w:color w:val="000000"/>
        </w:rPr>
        <w:t xml:space="preserve">Pani/Pana dane osobowe będą przechowywane jedynie w okresie niezbędnym do spełnienia celu, dla którego zostały zebrane, a następnie w celach archiwalnych przechowywane będą przez 5 lat, chyba że przepisy szczególne będą stanowić inaczej.  </w:t>
      </w:r>
    </w:p>
    <w:p w14:paraId="5EC517B3" w14:textId="77777777" w:rsidR="00C93B57" w:rsidRPr="00C93B57" w:rsidRDefault="00C93B57" w:rsidP="00C93B57">
      <w:pPr>
        <w:numPr>
          <w:ilvl w:val="0"/>
          <w:numId w:val="27"/>
        </w:numPr>
        <w:spacing w:after="41" w:line="269" w:lineRule="auto"/>
        <w:ind w:right="187"/>
        <w:rPr>
          <w:b/>
          <w:i/>
          <w:color w:val="000000"/>
        </w:rPr>
      </w:pPr>
      <w:r w:rsidRPr="00C93B57">
        <w:rPr>
          <w:color w:val="000000"/>
        </w:rPr>
        <w:t xml:space="preserve">obowiązek podania przez Panią/Pana danych osobowych bezpośrednio Pani/Pana dotyczących jest wymogiem ustawowym określonym w przepisach ustawy </w:t>
      </w:r>
      <w:proofErr w:type="spellStart"/>
      <w:r w:rsidRPr="00C93B57">
        <w:rPr>
          <w:color w:val="000000"/>
        </w:rPr>
        <w:t>Pzp</w:t>
      </w:r>
      <w:proofErr w:type="spellEnd"/>
      <w:r w:rsidRPr="00C93B57">
        <w:rPr>
          <w:color w:val="000000"/>
        </w:rPr>
        <w:t xml:space="preserve">, związanym z udziałem w postępowaniu o udzielenie zamówienia publicznego; konsekwencje niepodania określonych danych wynikają z ustawy </w:t>
      </w:r>
      <w:proofErr w:type="spellStart"/>
      <w:r w:rsidRPr="00C93B57">
        <w:rPr>
          <w:color w:val="000000"/>
        </w:rPr>
        <w:t>Pzp</w:t>
      </w:r>
      <w:proofErr w:type="spellEnd"/>
      <w:r w:rsidRPr="00C93B57">
        <w:rPr>
          <w:color w:val="000000"/>
        </w:rPr>
        <w:t>;</w:t>
      </w:r>
    </w:p>
    <w:p w14:paraId="4A2B1009" w14:textId="77777777" w:rsidR="00C93B57" w:rsidRPr="00C93B57" w:rsidRDefault="00C93B57" w:rsidP="00C93B57">
      <w:pPr>
        <w:numPr>
          <w:ilvl w:val="0"/>
          <w:numId w:val="27"/>
        </w:numPr>
        <w:spacing w:after="41" w:line="269" w:lineRule="auto"/>
        <w:ind w:right="187"/>
        <w:rPr>
          <w:color w:val="000000"/>
        </w:rPr>
      </w:pPr>
      <w:r w:rsidRPr="00C93B57">
        <w:rPr>
          <w:color w:val="000000"/>
        </w:rPr>
        <w:t>w odniesieniu do Pani/Pana danych osobowych decyzje nie będą podejmowane w sposób zautomatyzowany, stosowanie do art. 22 RODO;</w:t>
      </w:r>
    </w:p>
    <w:p w14:paraId="7112FEAF" w14:textId="77777777" w:rsidR="00C93B57" w:rsidRPr="00C93B57" w:rsidRDefault="00C93B57" w:rsidP="00C93B57">
      <w:pPr>
        <w:numPr>
          <w:ilvl w:val="0"/>
          <w:numId w:val="27"/>
        </w:numPr>
        <w:spacing w:after="41" w:line="269" w:lineRule="auto"/>
        <w:ind w:right="187"/>
        <w:rPr>
          <w:color w:val="000000"/>
        </w:rPr>
      </w:pPr>
      <w:r w:rsidRPr="00C93B57">
        <w:rPr>
          <w:color w:val="000000"/>
        </w:rPr>
        <w:t>posiada Pani/Pan:</w:t>
      </w:r>
    </w:p>
    <w:p w14:paraId="00C1827A" w14:textId="77777777" w:rsidR="00C93B57" w:rsidRPr="00C93B57" w:rsidRDefault="00C93B57" w:rsidP="00C93B57">
      <w:pPr>
        <w:numPr>
          <w:ilvl w:val="0"/>
          <w:numId w:val="26"/>
        </w:numPr>
        <w:spacing w:after="41" w:line="269" w:lineRule="auto"/>
        <w:ind w:right="187"/>
        <w:rPr>
          <w:color w:val="000000"/>
        </w:rPr>
      </w:pPr>
      <w:r w:rsidRPr="00C93B57">
        <w:rPr>
          <w:color w:val="000000"/>
        </w:rPr>
        <w:t>na podstawie art. 15 RODO prawo dostępu do danych osobowych Pani/Pana dotyczących;</w:t>
      </w:r>
    </w:p>
    <w:p w14:paraId="1AB74263" w14:textId="77777777" w:rsidR="00C93B57" w:rsidRPr="00C93B57" w:rsidRDefault="00C93B57" w:rsidP="00C93B57">
      <w:pPr>
        <w:numPr>
          <w:ilvl w:val="0"/>
          <w:numId w:val="26"/>
        </w:numPr>
        <w:spacing w:after="41" w:line="269" w:lineRule="auto"/>
        <w:ind w:right="187"/>
        <w:rPr>
          <w:color w:val="000000"/>
        </w:rPr>
      </w:pPr>
      <w:r w:rsidRPr="00C93B57">
        <w:rPr>
          <w:color w:val="000000"/>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037A8F0F" w14:textId="77777777" w:rsidR="00C93B57" w:rsidRPr="00C93B57" w:rsidRDefault="00C93B57" w:rsidP="00C93B57">
      <w:pPr>
        <w:numPr>
          <w:ilvl w:val="0"/>
          <w:numId w:val="26"/>
        </w:numPr>
        <w:spacing w:after="41" w:line="269" w:lineRule="auto"/>
        <w:ind w:right="187"/>
        <w:rPr>
          <w:color w:val="000000"/>
          <w:lang w:val="x-none"/>
        </w:rPr>
      </w:pPr>
      <w:r w:rsidRPr="00C93B57">
        <w:rPr>
          <w:color w:val="000000"/>
          <w:lang w:val="x-none"/>
        </w:rPr>
        <w:t xml:space="preserve">na podstawie art. 18 RODO prawo żądania od administratora ograniczenia przetwarzania danych osobowych </w:t>
      </w:r>
      <w:r w:rsidRPr="00C93B57">
        <w:rPr>
          <w:color w:val="000000"/>
          <w:vertAlign w:val="superscript"/>
          <w:lang w:val="x-none"/>
        </w:rPr>
        <w:t xml:space="preserve"> </w:t>
      </w:r>
      <w:r w:rsidRPr="00C93B57">
        <w:rPr>
          <w:color w:val="000000"/>
          <w:lang w:val="x-none"/>
        </w:rPr>
        <w:t>z zastrzeżeniem, iż w postępowaniu o  udzielenie zamówienia zgłoszenie żądania ograniczenia przetwarzania, o którym mowa w art. 18 ust. 1 RODO, nie ogranicza przetwarzania danych osobowych do czasu zakończenia tego postępowania;</w:t>
      </w:r>
    </w:p>
    <w:p w14:paraId="0FCEEF2F" w14:textId="77777777" w:rsidR="00C93B57" w:rsidRPr="00C93B57" w:rsidRDefault="00C93B57" w:rsidP="00C93B57">
      <w:pPr>
        <w:numPr>
          <w:ilvl w:val="0"/>
          <w:numId w:val="26"/>
        </w:numPr>
        <w:spacing w:after="41" w:line="269" w:lineRule="auto"/>
        <w:ind w:right="187"/>
        <w:rPr>
          <w:i/>
          <w:color w:val="000000"/>
        </w:rPr>
      </w:pPr>
      <w:r w:rsidRPr="00C93B57">
        <w:rPr>
          <w:color w:val="000000"/>
        </w:rPr>
        <w:t>prawo do wniesienia skargi do Prezesa Urzędu Ochrony Danych Osobowych, gdy uzna Pani/Pan, że przetwarzanie danych osobowych Pani/Pana dotyczących narusza przepisy RODO;</w:t>
      </w:r>
    </w:p>
    <w:p w14:paraId="10BA86CD" w14:textId="77777777" w:rsidR="00C93B57" w:rsidRPr="00C93B57" w:rsidRDefault="00C93B57" w:rsidP="00C93B57">
      <w:pPr>
        <w:numPr>
          <w:ilvl w:val="0"/>
          <w:numId w:val="27"/>
        </w:numPr>
        <w:spacing w:after="41" w:line="269" w:lineRule="auto"/>
        <w:ind w:right="187"/>
        <w:rPr>
          <w:i/>
          <w:color w:val="000000"/>
        </w:rPr>
      </w:pPr>
      <w:r w:rsidRPr="00C93B57">
        <w:rPr>
          <w:color w:val="000000"/>
        </w:rPr>
        <w:t>nie przysługuje Pani/Panu:</w:t>
      </w:r>
    </w:p>
    <w:p w14:paraId="5ED22274" w14:textId="77777777" w:rsidR="00C93B57" w:rsidRPr="00C93B57" w:rsidRDefault="00C93B57" w:rsidP="00C93B57">
      <w:pPr>
        <w:numPr>
          <w:ilvl w:val="0"/>
          <w:numId w:val="28"/>
        </w:numPr>
        <w:spacing w:after="41" w:line="269" w:lineRule="auto"/>
        <w:ind w:right="187"/>
        <w:rPr>
          <w:i/>
          <w:color w:val="000000"/>
        </w:rPr>
      </w:pPr>
      <w:r w:rsidRPr="00C93B57">
        <w:rPr>
          <w:color w:val="000000"/>
        </w:rPr>
        <w:t>w związku z art. 17 ust. 3 lit. b, d lub e RODO prawo do usunięcia danych osobowych;</w:t>
      </w:r>
    </w:p>
    <w:p w14:paraId="3E809245" w14:textId="77777777" w:rsidR="00C93B57" w:rsidRPr="00C93B57" w:rsidRDefault="00C93B57" w:rsidP="00C93B57">
      <w:pPr>
        <w:numPr>
          <w:ilvl w:val="0"/>
          <w:numId w:val="28"/>
        </w:numPr>
        <w:spacing w:after="41" w:line="269" w:lineRule="auto"/>
        <w:ind w:right="187"/>
        <w:rPr>
          <w:b/>
          <w:i/>
          <w:color w:val="000000"/>
        </w:rPr>
      </w:pPr>
      <w:r w:rsidRPr="00C93B57">
        <w:rPr>
          <w:color w:val="000000"/>
        </w:rPr>
        <w:t>prawo do przenoszenia danych osobowych, o którym mowa w art. 20 RODO;</w:t>
      </w:r>
    </w:p>
    <w:p w14:paraId="6D11E545" w14:textId="69BD17F0" w:rsidR="00EC2759" w:rsidRPr="00C93B57" w:rsidRDefault="00C93B57" w:rsidP="00C93B57">
      <w:pPr>
        <w:numPr>
          <w:ilvl w:val="0"/>
          <w:numId w:val="28"/>
        </w:numPr>
        <w:spacing w:after="41" w:line="269" w:lineRule="auto"/>
        <w:ind w:right="187"/>
        <w:rPr>
          <w:bCs/>
          <w:i/>
          <w:color w:val="000000"/>
        </w:rPr>
      </w:pPr>
      <w:r w:rsidRPr="00C93B57">
        <w:rPr>
          <w:bCs/>
          <w:color w:val="000000"/>
        </w:rPr>
        <w:t>na podstawie art. 21 RODO prawo sprzeciwu, wobec przetwarzania danych osobowych, gdyż podstawą prawną przetwarzania Pani/Pana danych osobowych jest art. 6 ust. 1 lit. c RODO.</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77777777" w:rsidR="00EC2759" w:rsidRDefault="00B208DA">
      <w:pPr>
        <w:pStyle w:val="Nagwek2"/>
        <w:spacing w:after="146"/>
        <w:ind w:left="72" w:right="183"/>
      </w:pPr>
      <w:r>
        <w:t xml:space="preserve">Rozdział III Tryb udzielenia zamówienia </w:t>
      </w:r>
    </w:p>
    <w:p w14:paraId="11ED1ACB" w14:textId="77777777" w:rsidR="00EC2759" w:rsidRDefault="00B208DA">
      <w:pPr>
        <w:numPr>
          <w:ilvl w:val="0"/>
          <w:numId w:val="4"/>
        </w:numPr>
        <w:ind w:right="187" w:hanging="360"/>
      </w:pPr>
      <w:r>
        <w:t xml:space="preserve">Szacunkowa wartość przedmiotowego zamówienia nie przekracza progów unijnych, o których mowa w art. 3 ust. 1 pkt 1 ustawy z dnia 11 września 2019 r. – Prawo zamówień publicznych (Dz.U. z 2023 r. poz. 1605 z </w:t>
      </w:r>
      <w:proofErr w:type="spellStart"/>
      <w:r>
        <w:t>późn</w:t>
      </w:r>
      <w:proofErr w:type="spellEnd"/>
      <w:r>
        <w:t xml:space="preserve">. zm.) zwanej dalej „ustawą </w:t>
      </w:r>
      <w:proofErr w:type="spellStart"/>
      <w:r>
        <w:t>Pzp</w:t>
      </w:r>
      <w:proofErr w:type="spellEnd"/>
      <w:r>
        <w:t>”.</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w:t>
      </w:r>
      <w:proofErr w:type="spellStart"/>
      <w:r>
        <w:t>Pzp</w:t>
      </w:r>
      <w:proofErr w:type="spellEnd"/>
      <w:r>
        <w:t xml:space="preserve">.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w:t>
      </w:r>
      <w:proofErr w:type="spellStart"/>
      <w:r>
        <w:t>Pzp</w:t>
      </w:r>
      <w:proofErr w:type="spellEnd"/>
      <w:r>
        <w:t xml:space="preserve"> i aktów wykonawczych do ustawy </w:t>
      </w:r>
      <w:proofErr w:type="spellStart"/>
      <w:r>
        <w:t>Pzp</w:t>
      </w:r>
      <w:proofErr w:type="spellEnd"/>
      <w:r>
        <w:t xml:space="preserve">.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5F8288AD" w14:textId="77777777" w:rsidR="00EC2759" w:rsidRDefault="00B208DA">
      <w:pPr>
        <w:numPr>
          <w:ilvl w:val="0"/>
          <w:numId w:val="4"/>
        </w:numPr>
        <w:ind w:right="187" w:hanging="360"/>
      </w:pPr>
      <w:r>
        <w:t xml:space="preserve">Zamawiający nie przewiduje przeprowadzenia aukcji elektronicznej. </w:t>
      </w:r>
    </w:p>
    <w:p w14:paraId="2DC24850" w14:textId="77777777" w:rsidR="00EC2759" w:rsidRDefault="00B208DA">
      <w:pPr>
        <w:numPr>
          <w:ilvl w:val="0"/>
          <w:numId w:val="4"/>
        </w:numPr>
        <w:spacing w:after="11"/>
        <w:ind w:right="187" w:hanging="360"/>
      </w:pPr>
      <w:r>
        <w:t xml:space="preserve">Zamawiający nie przewiduje złożenia oferty w postaci katalogów elektronicznych. </w:t>
      </w:r>
    </w:p>
    <w:p w14:paraId="115CFB62" w14:textId="77777777" w:rsidR="00EC2759" w:rsidRDefault="00B208DA">
      <w:pPr>
        <w:spacing w:line="259" w:lineRule="auto"/>
        <w:ind w:left="77" w:right="0" w:firstLine="0"/>
        <w:jc w:val="left"/>
      </w:pPr>
      <w:r>
        <w:lastRenderedPageBreak/>
        <w:t xml:space="preserve"> </w:t>
      </w:r>
    </w:p>
    <w:p w14:paraId="37249BAB" w14:textId="77777777" w:rsidR="00EC2759" w:rsidRDefault="00B208DA">
      <w:pPr>
        <w:pStyle w:val="Nagwek3"/>
        <w:spacing w:after="142"/>
        <w:ind w:left="72" w:right="185"/>
      </w:pPr>
      <w:r>
        <w:t xml:space="preserve">Rozdział IV Opis przedmiotu zamówienia </w:t>
      </w:r>
    </w:p>
    <w:p w14:paraId="1274CA63" w14:textId="77777777" w:rsidR="00EC2759" w:rsidRDefault="00B208DA">
      <w:pPr>
        <w:spacing w:after="42" w:line="267" w:lineRule="auto"/>
        <w:ind w:left="111" w:right="0"/>
        <w:jc w:val="left"/>
      </w:pPr>
      <w:r>
        <w:rPr>
          <w:b/>
        </w:rPr>
        <w:t>I.</w:t>
      </w:r>
      <w:r>
        <w:rPr>
          <w:rFonts w:ascii="Arial" w:eastAsia="Arial" w:hAnsi="Arial" w:cs="Arial"/>
          <w:b/>
        </w:rPr>
        <w:t xml:space="preserve"> </w:t>
      </w:r>
      <w:r>
        <w:rPr>
          <w:b/>
        </w:rPr>
        <w:t xml:space="preserve">Przedmiot zamówienia: </w:t>
      </w:r>
    </w:p>
    <w:p w14:paraId="2584F495" w14:textId="1289BD09" w:rsidR="00EC2759" w:rsidRPr="00477B30" w:rsidRDefault="00B208DA" w:rsidP="00477B30">
      <w:pPr>
        <w:numPr>
          <w:ilvl w:val="0"/>
          <w:numId w:val="5"/>
        </w:numPr>
        <w:spacing w:after="41" w:line="269" w:lineRule="auto"/>
        <w:ind w:right="187" w:hanging="293"/>
        <w:rPr>
          <w:b/>
          <w:color w:val="000000"/>
        </w:rPr>
      </w:pPr>
      <w:r>
        <w:rPr>
          <w:color w:val="000000"/>
        </w:rPr>
        <w:t xml:space="preserve">Przedmiotem zamówienia jest prowadzenie obsługi bankowej budżetu </w:t>
      </w:r>
      <w:r w:rsidR="00240E66">
        <w:rPr>
          <w:color w:val="000000"/>
        </w:rPr>
        <w:t>Gminy</w:t>
      </w:r>
      <w:r>
        <w:rPr>
          <w:color w:val="000000"/>
        </w:rPr>
        <w:t xml:space="preserve"> Ł</w:t>
      </w:r>
      <w:r w:rsidR="00477B30">
        <w:rPr>
          <w:color w:val="000000"/>
        </w:rPr>
        <w:t>ęczyca</w:t>
      </w:r>
      <w:r>
        <w:rPr>
          <w:color w:val="000000"/>
        </w:rPr>
        <w:t xml:space="preserve"> i je</w:t>
      </w:r>
      <w:r w:rsidR="005B1EF9">
        <w:rPr>
          <w:color w:val="000000"/>
        </w:rPr>
        <w:t>j</w:t>
      </w:r>
      <w:r>
        <w:rPr>
          <w:color w:val="000000"/>
        </w:rPr>
        <w:t xml:space="preserve"> jednostek organizacyjnych w okresie </w:t>
      </w:r>
      <w:r w:rsidR="00CA065E">
        <w:rPr>
          <w:color w:val="000000"/>
        </w:rPr>
        <w:t xml:space="preserve">36 miesięcy ( umowa obowiązywać będzie </w:t>
      </w:r>
      <w:r w:rsidR="00477B30" w:rsidRPr="00477B30">
        <w:rPr>
          <w:b/>
          <w:color w:val="000000"/>
        </w:rPr>
        <w:t xml:space="preserve">od </w:t>
      </w:r>
      <w:r w:rsidR="00C93B57">
        <w:rPr>
          <w:b/>
          <w:color w:val="000000"/>
        </w:rPr>
        <w:t>01.06.2024r.</w:t>
      </w:r>
      <w:r w:rsidR="00477B30" w:rsidRPr="00477B30">
        <w:rPr>
          <w:b/>
          <w:color w:val="000000"/>
        </w:rPr>
        <w:t xml:space="preserve"> </w:t>
      </w:r>
      <w:r w:rsidR="00CA065E">
        <w:rPr>
          <w:b/>
          <w:color w:val="000000"/>
        </w:rPr>
        <w:t xml:space="preserve">do 31.05.2027r. </w:t>
      </w:r>
      <w:r w:rsidR="00477B30" w:rsidRPr="00477B30">
        <w:rPr>
          <w:color w:val="000000"/>
        </w:rPr>
        <w:t>z zastrzeżeniem, że przygotowanie, uruchomienie i przeszkolenie w zakresie systemu obsługi bankowej zostanie zrealizowane do dnia</w:t>
      </w:r>
      <w:r w:rsidR="00C93B57">
        <w:rPr>
          <w:color w:val="000000"/>
        </w:rPr>
        <w:t xml:space="preserve"> 15.05.2024</w:t>
      </w:r>
      <w:r w:rsidR="00477B30" w:rsidRPr="00477B30">
        <w:rPr>
          <w:color w:val="000000"/>
        </w:rPr>
        <w:t xml:space="preserve"> r.</w:t>
      </w:r>
      <w:r w:rsidR="00CA065E">
        <w:rPr>
          <w:color w:val="000000"/>
        </w:rPr>
        <w:t>).</w:t>
      </w:r>
      <w:r w:rsidR="00477B30" w:rsidRPr="00477B30">
        <w:rPr>
          <w:color w:val="000000"/>
        </w:rPr>
        <w:t xml:space="preserve"> Numery nowych rachunków bankowych, które będą obowiązywały od </w:t>
      </w:r>
      <w:r w:rsidR="00C93B57">
        <w:rPr>
          <w:color w:val="000000"/>
        </w:rPr>
        <w:t>01.06.2024</w:t>
      </w:r>
      <w:r w:rsidR="00477B30" w:rsidRPr="00477B30">
        <w:rPr>
          <w:color w:val="000000"/>
        </w:rPr>
        <w:t xml:space="preserve"> r. zostaną wskazane Zamawiającemu w terminie 7 dni od dnia podpisania umowy</w:t>
      </w:r>
      <w:r w:rsidR="00477B30">
        <w:rPr>
          <w:color w:val="000000"/>
        </w:rPr>
        <w:t xml:space="preserve">. </w:t>
      </w:r>
      <w:r w:rsidRPr="00477B30">
        <w:rPr>
          <w:color w:val="000000"/>
        </w:rPr>
        <w:t xml:space="preserve">Wykaz jednostek objętych przedmiotem zamówienia stanowi </w:t>
      </w:r>
      <w:r w:rsidRPr="00477B30">
        <w:rPr>
          <w:b/>
          <w:color w:val="000000"/>
        </w:rPr>
        <w:t xml:space="preserve">załącznik nr </w:t>
      </w:r>
      <w:r w:rsidR="002B09E4">
        <w:rPr>
          <w:b/>
          <w:color w:val="000000"/>
        </w:rPr>
        <w:t>6</w:t>
      </w:r>
      <w:r w:rsidRPr="00477B30">
        <w:rPr>
          <w:b/>
          <w:color w:val="000000"/>
        </w:rPr>
        <w:t xml:space="preserve"> do SWZ</w:t>
      </w:r>
      <w:r w:rsidRPr="00477B30">
        <w:rPr>
          <w:color w:val="000000"/>
        </w:rPr>
        <w:t xml:space="preserve">.  </w:t>
      </w:r>
    </w:p>
    <w:p w14:paraId="78A7CFF1" w14:textId="77777777" w:rsidR="00EC2759" w:rsidRDefault="00B208DA">
      <w:pPr>
        <w:numPr>
          <w:ilvl w:val="0"/>
          <w:numId w:val="5"/>
        </w:numPr>
        <w:spacing w:after="41" w:line="269" w:lineRule="auto"/>
        <w:ind w:right="187" w:hanging="293"/>
      </w:pPr>
      <w:r>
        <w:rPr>
          <w:color w:val="000000"/>
        </w:rPr>
        <w:t xml:space="preserve">Zamawiający zastrzega sobie prawo do zmiany liczby jednostek wskutek ewentualnych zmian organizacyjnych. W przypadku powołania nowych jednostek organizacyjnych, ich obsługa bankowa będzie prowadzona na warunkach zgodnych z zawartą umową. Rachunki będą otwierane i zamykane przez osoby uprawnione ze strony Zamawiającego oraz przez osoby uprawnione ze strony jednostek organizacyjnych.  </w:t>
      </w:r>
    </w:p>
    <w:p w14:paraId="58E14C42" w14:textId="404BF972" w:rsidR="00EC2759" w:rsidRDefault="00B208DA">
      <w:pPr>
        <w:numPr>
          <w:ilvl w:val="0"/>
          <w:numId w:val="5"/>
        </w:numPr>
        <w:spacing w:after="41" w:line="269" w:lineRule="auto"/>
        <w:ind w:right="187" w:hanging="293"/>
      </w:pPr>
      <w:r>
        <w:rPr>
          <w:color w:val="000000"/>
        </w:rPr>
        <w:t>Wykonawca zapewni obsługę Zamawiającego we wszystkich placówkach bankowych zlokalizowanych w granicach administracyjnych miasta Ł</w:t>
      </w:r>
      <w:r w:rsidR="004279B2">
        <w:rPr>
          <w:color w:val="000000"/>
        </w:rPr>
        <w:t>ęczyca</w:t>
      </w:r>
      <w:r>
        <w:rPr>
          <w:color w:val="000000"/>
        </w:rPr>
        <w:t xml:space="preserve">. </w:t>
      </w:r>
    </w:p>
    <w:p w14:paraId="5637559E" w14:textId="2C63456D" w:rsidR="00EC2759" w:rsidRDefault="00B208DA">
      <w:pPr>
        <w:numPr>
          <w:ilvl w:val="0"/>
          <w:numId w:val="5"/>
        </w:numPr>
        <w:spacing w:after="37"/>
        <w:ind w:right="187" w:hanging="293"/>
      </w:pPr>
      <w:r>
        <w:rPr>
          <w:color w:val="000000"/>
        </w:rPr>
        <w:t xml:space="preserve">Szczegółowy opis przedmiotu zamówienia zawarty jest w </w:t>
      </w:r>
      <w:r>
        <w:rPr>
          <w:b/>
          <w:color w:val="000000"/>
        </w:rPr>
        <w:t xml:space="preserve"> Załącznik nr </w:t>
      </w:r>
      <w:r w:rsidR="002B09E4">
        <w:rPr>
          <w:b/>
          <w:color w:val="000000"/>
        </w:rPr>
        <w:t>5</w:t>
      </w:r>
      <w:r>
        <w:rPr>
          <w:b/>
          <w:color w:val="000000"/>
        </w:rPr>
        <w:t xml:space="preserve"> do SWZ (Szczegółowy opis przedmiotu zamówienia). </w:t>
      </w:r>
    </w:p>
    <w:p w14:paraId="487A2B1A" w14:textId="77777777" w:rsidR="004279B2" w:rsidRDefault="00B208DA">
      <w:pPr>
        <w:numPr>
          <w:ilvl w:val="0"/>
          <w:numId w:val="5"/>
        </w:numPr>
        <w:spacing w:after="7"/>
        <w:ind w:right="187" w:hanging="293"/>
      </w:pPr>
      <w:r>
        <w:t xml:space="preserve">Oznaczenie przedmiotu zamówienia według klasyfikacji Wspólnego Słownika Zamówień (CPV): </w:t>
      </w:r>
    </w:p>
    <w:p w14:paraId="23DC7FD8" w14:textId="2EA69A4C" w:rsidR="00EC2759" w:rsidRDefault="00B208DA" w:rsidP="004279B2">
      <w:pPr>
        <w:spacing w:after="7"/>
        <w:ind w:left="355" w:right="187" w:firstLine="0"/>
      </w:pPr>
      <w:r>
        <w:rPr>
          <w:b/>
          <w:u w:val="single" w:color="00000A"/>
        </w:rPr>
        <w:t>Główny kod CPV:</w:t>
      </w:r>
      <w:r>
        <w:rPr>
          <w:b/>
        </w:rPr>
        <w:t xml:space="preserve"> </w:t>
      </w:r>
    </w:p>
    <w:p w14:paraId="5D213518" w14:textId="77777777" w:rsidR="00EC2759" w:rsidRDefault="00B208DA">
      <w:pPr>
        <w:spacing w:after="0" w:line="267" w:lineRule="auto"/>
        <w:ind w:left="355" w:right="0"/>
        <w:jc w:val="left"/>
      </w:pPr>
      <w:r>
        <w:rPr>
          <w:b/>
        </w:rPr>
        <w:t xml:space="preserve">66110000-4 Usługi bankowe </w:t>
      </w:r>
    </w:p>
    <w:p w14:paraId="10189CAB" w14:textId="52600D1F" w:rsidR="00EC2759" w:rsidRDefault="00B208DA" w:rsidP="004279B2">
      <w:pPr>
        <w:spacing w:after="79" w:line="259" w:lineRule="auto"/>
        <w:ind w:left="77" w:right="0" w:firstLine="0"/>
        <w:jc w:val="left"/>
      </w:pPr>
      <w:r>
        <w:rPr>
          <w:b/>
          <w:sz w:val="12"/>
        </w:rPr>
        <w:t xml:space="preserve"> </w:t>
      </w:r>
      <w:r w:rsidR="004279B2">
        <w:rPr>
          <w:b/>
          <w:sz w:val="12"/>
        </w:rPr>
        <w:t xml:space="preserve">         </w:t>
      </w:r>
      <w:r>
        <w:rPr>
          <w:b/>
        </w:rPr>
        <w:t xml:space="preserve">Kody pomocnicze: </w:t>
      </w:r>
    </w:p>
    <w:p w14:paraId="1B3EF4BC" w14:textId="77777777" w:rsidR="00EC2759" w:rsidRDefault="00B208DA">
      <w:pPr>
        <w:spacing w:after="11" w:line="267" w:lineRule="auto"/>
        <w:ind w:left="355" w:right="0"/>
        <w:jc w:val="left"/>
      </w:pPr>
      <w:r>
        <w:rPr>
          <w:b/>
        </w:rPr>
        <w:t xml:space="preserve">66112000-8 Usługi depozytowe </w:t>
      </w:r>
    </w:p>
    <w:p w14:paraId="593F9501" w14:textId="77777777" w:rsidR="00EC2759" w:rsidRDefault="00B208DA">
      <w:pPr>
        <w:spacing w:after="42" w:line="267" w:lineRule="auto"/>
        <w:ind w:left="355" w:right="0"/>
        <w:jc w:val="left"/>
      </w:pPr>
      <w:r>
        <w:rPr>
          <w:b/>
        </w:rPr>
        <w:t xml:space="preserve">66113000-5 Usługi udzielania kredytu </w:t>
      </w:r>
    </w:p>
    <w:p w14:paraId="774436DB" w14:textId="77777777" w:rsidR="00EC2759" w:rsidRDefault="00B208DA">
      <w:pPr>
        <w:numPr>
          <w:ilvl w:val="0"/>
          <w:numId w:val="5"/>
        </w:numPr>
        <w:spacing w:after="45" w:line="267" w:lineRule="auto"/>
        <w:ind w:right="187" w:hanging="293"/>
      </w:pPr>
      <w:r>
        <w:rPr>
          <w:color w:val="000009"/>
        </w:rPr>
        <w:t>Zamawiający nie dopuszcza możliwości składania ofert częściowych.</w:t>
      </w:r>
      <w:r>
        <w:rPr>
          <w:b/>
        </w:rPr>
        <w:t xml:space="preserve"> </w:t>
      </w:r>
    </w:p>
    <w:p w14:paraId="0EF95431" w14:textId="77777777" w:rsidR="00EC2759" w:rsidRDefault="00B208DA">
      <w:pPr>
        <w:numPr>
          <w:ilvl w:val="0"/>
          <w:numId w:val="5"/>
        </w:numPr>
        <w:spacing w:after="42" w:line="267" w:lineRule="auto"/>
        <w:ind w:right="187" w:hanging="293"/>
      </w:pPr>
      <w:r>
        <w:rPr>
          <w:color w:val="000009"/>
        </w:rPr>
        <w:t xml:space="preserve">Zamówienie nie zostało podzielone na części, gdyż na przedmiot zamówienia składa się zwarty zespół elementów. Dokonanie podziału zamówienia na części wiązałoby się z nadmiernymi trudnościami technicznymi oraz dodatkowymi kosztami wykonania zamówienia.  Dodatkowo zachodziłaby potrzeba skoordynowania działań różnych wykonawców realizujących poszczególne części zamówienia, co  mogłoby poważnie zagrozić właściwemu wykonaniu zamówienia. </w:t>
      </w:r>
    </w:p>
    <w:p w14:paraId="0E1F8D2F" w14:textId="77777777" w:rsidR="00EC2759" w:rsidRDefault="00B208DA">
      <w:pPr>
        <w:numPr>
          <w:ilvl w:val="0"/>
          <w:numId w:val="5"/>
        </w:numPr>
        <w:ind w:right="187" w:hanging="293"/>
      </w:pPr>
      <w:r>
        <w:t>Zamawiający nie dopuszcza możliwości składania ofert wariantowych.</w:t>
      </w:r>
      <w:r>
        <w:rPr>
          <w:color w:val="000009"/>
        </w:rPr>
        <w:t xml:space="preserve"> </w:t>
      </w:r>
    </w:p>
    <w:p w14:paraId="6B77EC15" w14:textId="77777777" w:rsidR="00EC2759" w:rsidRDefault="00B208DA">
      <w:pPr>
        <w:numPr>
          <w:ilvl w:val="0"/>
          <w:numId w:val="5"/>
        </w:numPr>
        <w:spacing w:after="45" w:line="267" w:lineRule="auto"/>
        <w:ind w:right="187" w:hanging="293"/>
      </w:pPr>
      <w:r>
        <w:rPr>
          <w:color w:val="000009"/>
        </w:rPr>
        <w:t>Każdy Wykonawca może złożyć tylko jedną ofertę w postępowaniu.</w:t>
      </w:r>
      <w:r>
        <w:rPr>
          <w:b/>
        </w:rPr>
        <w:t xml:space="preserve"> </w:t>
      </w:r>
    </w:p>
    <w:p w14:paraId="72A8E1AE" w14:textId="77777777" w:rsidR="00EC2759" w:rsidRDefault="00B208DA">
      <w:pPr>
        <w:numPr>
          <w:ilvl w:val="0"/>
          <w:numId w:val="5"/>
        </w:numPr>
        <w:ind w:right="187" w:hanging="293"/>
      </w:pPr>
      <w:r>
        <w:t xml:space="preserve">Zamawiający nie przewiduje udzielenia zamówień, o których mowa w art. 214 ust. 1 pkt 7 ustawy </w:t>
      </w:r>
      <w:proofErr w:type="spellStart"/>
      <w:r>
        <w:t>Pzp</w:t>
      </w:r>
      <w:proofErr w:type="spellEnd"/>
      <w:r>
        <w:t xml:space="preserve">. </w:t>
      </w:r>
    </w:p>
    <w:p w14:paraId="53E6BA62" w14:textId="77777777" w:rsidR="00EC2759" w:rsidRDefault="00B208DA">
      <w:pPr>
        <w:numPr>
          <w:ilvl w:val="0"/>
          <w:numId w:val="5"/>
        </w:numPr>
        <w:spacing w:after="8"/>
        <w:ind w:right="187" w:hanging="293"/>
      </w:pPr>
      <w:r>
        <w:t xml:space="preserve">Zamawiający nie określa dodatkowych wymagań związanych z zatrudnianiem osób, o których mowa    w art. 96 ust. 2 pkt 2 ustawy </w:t>
      </w:r>
      <w:proofErr w:type="spellStart"/>
      <w:r>
        <w:t>Pzp</w:t>
      </w:r>
      <w:proofErr w:type="spellEnd"/>
      <w:r>
        <w:t xml:space="preserve">. </w:t>
      </w:r>
    </w:p>
    <w:p w14:paraId="55892A47" w14:textId="77777777" w:rsidR="00EC2759" w:rsidRDefault="00B208DA">
      <w:pPr>
        <w:spacing w:after="0" w:line="259" w:lineRule="auto"/>
        <w:ind w:left="77" w:right="0" w:firstLine="0"/>
        <w:jc w:val="left"/>
      </w:pPr>
      <w:r>
        <w:t xml:space="preserve"> </w:t>
      </w:r>
    </w:p>
    <w:p w14:paraId="0A27B61F" w14:textId="77777777" w:rsidR="00EC2759" w:rsidRDefault="00B208DA">
      <w:pPr>
        <w:spacing w:after="42" w:line="267" w:lineRule="auto"/>
        <w:ind w:left="53" w:right="0"/>
        <w:jc w:val="left"/>
      </w:pPr>
      <w:r>
        <w:rPr>
          <w:b/>
        </w:rPr>
        <w:t>II.</w:t>
      </w:r>
      <w:r>
        <w:rPr>
          <w:rFonts w:ascii="Arial" w:eastAsia="Arial" w:hAnsi="Arial" w:cs="Arial"/>
          <w:b/>
        </w:rPr>
        <w:t xml:space="preserve"> </w:t>
      </w:r>
      <w:r>
        <w:rPr>
          <w:b/>
        </w:rPr>
        <w:t xml:space="preserve">Wymagania w zakresie zatrudnienia na podstawie stosunku pracy: </w:t>
      </w:r>
    </w:p>
    <w:p w14:paraId="30826BF3" w14:textId="77777777" w:rsidR="00EC2759" w:rsidRDefault="00B208DA">
      <w:pPr>
        <w:numPr>
          <w:ilvl w:val="0"/>
          <w:numId w:val="6"/>
        </w:numPr>
        <w:spacing w:after="41" w:line="269" w:lineRule="auto"/>
        <w:ind w:right="187" w:hanging="283"/>
      </w:pPr>
      <w:r>
        <w:rPr>
          <w:color w:val="000000"/>
        </w:rPr>
        <w:t>Zamawiający wymaga zatrudnienia przez wykonawcę lub podwykonawcę na podstawie umowy o pracę</w:t>
      </w:r>
      <w:r>
        <w:t xml:space="preserve"> w sposób określony w art. 22 § 1 ustawy z dnia 26 czerwca 1974 r. - Kodeks pracy (Dz. U. z 2023 r. poz. 1465) </w:t>
      </w:r>
      <w:r>
        <w:rPr>
          <w:color w:val="000000"/>
        </w:rPr>
        <w:t xml:space="preserve">osób wykonujących czynności na </w:t>
      </w:r>
      <w:r>
        <w:rPr>
          <w:b/>
          <w:color w:val="000000"/>
        </w:rPr>
        <w:t>stanowiskach kasjerów</w:t>
      </w:r>
      <w:r>
        <w:rPr>
          <w:color w:val="000000"/>
        </w:rPr>
        <w:t xml:space="preserve">. </w:t>
      </w:r>
    </w:p>
    <w:p w14:paraId="167414F5" w14:textId="075518D0" w:rsidR="00EC2759" w:rsidRDefault="00B208DA">
      <w:pPr>
        <w:numPr>
          <w:ilvl w:val="0"/>
          <w:numId w:val="6"/>
        </w:numPr>
        <w:spacing w:after="41" w:line="269" w:lineRule="auto"/>
        <w:ind w:right="187" w:hanging="283"/>
      </w:pPr>
      <w:r>
        <w:rPr>
          <w:color w:val="000000"/>
        </w:rPr>
        <w:t xml:space="preserve">Szczegóły odnośnie zatrudnienia na umowę o pracę umieszczono w istotnych postanowieniach umowy stanowiących </w:t>
      </w:r>
      <w:r>
        <w:rPr>
          <w:b/>
          <w:color w:val="000000"/>
        </w:rPr>
        <w:t xml:space="preserve">załącznik nr </w:t>
      </w:r>
      <w:r w:rsidR="002B09E4">
        <w:rPr>
          <w:b/>
          <w:color w:val="000000"/>
        </w:rPr>
        <w:t>7</w:t>
      </w:r>
      <w:r>
        <w:rPr>
          <w:b/>
          <w:color w:val="000000"/>
        </w:rPr>
        <w:t xml:space="preserve"> do niniejszej SWZ</w:t>
      </w:r>
      <w:r>
        <w:rPr>
          <w:color w:val="000000"/>
        </w:rPr>
        <w:t xml:space="preserve"> m.in. sposób dokumentowania zatrudnienia osób, o których mowa powyżej, sposób weryfikacji zatrudnienia osób, o których mowa w ust. 1 oraz </w:t>
      </w:r>
      <w:r>
        <w:rPr>
          <w:color w:val="000000"/>
        </w:rPr>
        <w:lastRenderedPageBreak/>
        <w:t xml:space="preserve">uprawnienia Zamawiającego w zakresie kontroli spełniania przez Wykonawcę wymagań, o których mowa powyżej oraz sankcji z tytułu niespełnienia tych wymagań.  </w:t>
      </w:r>
    </w:p>
    <w:p w14:paraId="7E54C002" w14:textId="77777777" w:rsidR="00EC2759" w:rsidRDefault="00B208DA">
      <w:pPr>
        <w:numPr>
          <w:ilvl w:val="0"/>
          <w:numId w:val="6"/>
        </w:numPr>
        <w:spacing w:after="41" w:line="269" w:lineRule="auto"/>
        <w:ind w:right="187" w:hanging="283"/>
      </w:pPr>
      <w:r>
        <w:rPr>
          <w:color w:val="000000"/>
        </w:rPr>
        <w:t xml:space="preserve">Zatrudnienie osób wykonujących bezpośrednio czynności związane z wykonywaniem usługi powinno trwać co najmniej do końca upływu terminu realizacji zamówienia. W przypadku rozwiązania stosunku pracy przez pracownika lub Wykonawcę (pełniącego rolę pracodawcy) przed zakończeniem realizacji zamówienia, Wykonawca przy zatrudnieniu nowej osoby na to miejsce zobowiązany będzie zatrudnić ją na podstawie umowy o pracę. </w:t>
      </w:r>
    </w:p>
    <w:p w14:paraId="14571819" w14:textId="77777777" w:rsidR="00EC2759" w:rsidRDefault="00B208DA">
      <w:pPr>
        <w:spacing w:after="20" w:line="259" w:lineRule="auto"/>
        <w:ind w:left="77" w:right="0" w:firstLine="0"/>
        <w:jc w:val="left"/>
      </w:pPr>
      <w:r>
        <w:rPr>
          <w:b/>
          <w:sz w:val="24"/>
        </w:rPr>
        <w:t xml:space="preserve"> </w:t>
      </w:r>
    </w:p>
    <w:p w14:paraId="6C4424DC" w14:textId="7777777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77777777" w:rsidR="00EC2759" w:rsidRDefault="00B208DA">
      <w:pPr>
        <w:pStyle w:val="Nagwek3"/>
        <w:spacing w:after="111"/>
        <w:ind w:left="72" w:right="185"/>
      </w:pPr>
      <w:r>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w:t>
      </w:r>
      <w:proofErr w:type="spellStart"/>
      <w:r>
        <w:rPr>
          <w:color w:val="000000"/>
        </w:rPr>
        <w:t>Pzp</w:t>
      </w:r>
      <w:proofErr w:type="spellEnd"/>
      <w:r>
        <w:rPr>
          <w:color w:val="000000"/>
        </w:rPr>
        <w:t xml:space="preserve">. </w:t>
      </w:r>
    </w:p>
    <w:p w14:paraId="6C2CE2A6" w14:textId="77777777" w:rsidR="00EC2759" w:rsidRDefault="00B208DA">
      <w:pPr>
        <w:spacing w:after="20" w:line="259" w:lineRule="auto"/>
        <w:ind w:left="77" w:right="0" w:firstLine="0"/>
        <w:jc w:val="left"/>
      </w:pPr>
      <w:r>
        <w:rPr>
          <w:b/>
          <w:sz w:val="24"/>
        </w:rPr>
        <w:t xml:space="preserve"> </w:t>
      </w:r>
    </w:p>
    <w:p w14:paraId="10FFEDFF" w14:textId="77777777" w:rsidR="00EC2759" w:rsidRDefault="00B208DA">
      <w:pPr>
        <w:pStyle w:val="Nagwek3"/>
        <w:spacing w:after="145"/>
        <w:ind w:left="72" w:right="185"/>
      </w:pPr>
      <w:r>
        <w:t xml:space="preserve">Rozdział VII Podwykonawcy </w:t>
      </w:r>
    </w:p>
    <w:p w14:paraId="455A147F" w14:textId="77777777" w:rsidR="00EC2759" w:rsidRDefault="00B208DA">
      <w:pPr>
        <w:numPr>
          <w:ilvl w:val="0"/>
          <w:numId w:val="7"/>
        </w:numPr>
        <w:spacing w:after="41" w:line="269" w:lineRule="auto"/>
        <w:ind w:right="187" w:hanging="283"/>
      </w:pPr>
      <w:r>
        <w:rPr>
          <w:color w:val="000000"/>
        </w:rPr>
        <w:t xml:space="preserve">Wykonawca może powierzyć wykonanie części zamówienia podwykonawcy (podwykonawcom). </w:t>
      </w:r>
    </w:p>
    <w:p w14:paraId="2BD12334" w14:textId="473E3417" w:rsidR="00EC2759" w:rsidRDefault="006A29FC">
      <w:pPr>
        <w:numPr>
          <w:ilvl w:val="0"/>
          <w:numId w:val="7"/>
        </w:numPr>
        <w:spacing w:after="41" w:line="269" w:lineRule="auto"/>
        <w:ind w:right="187" w:hanging="283"/>
      </w:pPr>
      <w:r w:rsidRPr="006A29FC">
        <w:rPr>
          <w:color w:val="000000"/>
        </w:rPr>
        <w:t xml:space="preserve">Zamawiający zastrzega sobie prawo do osobistego wykonania przez Wykonawcę następujących usług: otwierania, zamykania i prowadzenia rachunków bankowych, realizowania przelewów  oraz udzielania kredytu w rachunku bieżącym. </w:t>
      </w:r>
    </w:p>
    <w:p w14:paraId="11405E48" w14:textId="77777777" w:rsidR="00EC2759" w:rsidRDefault="00B208DA">
      <w:pPr>
        <w:numPr>
          <w:ilvl w:val="0"/>
          <w:numId w:val="7"/>
        </w:numPr>
        <w:spacing w:after="41" w:line="269" w:lineRule="auto"/>
        <w:ind w:right="187" w:hanging="283"/>
      </w:pPr>
      <w:r>
        <w:rPr>
          <w:color w:val="000000"/>
        </w:rPr>
        <w:t>Zamawiający wymaga, aby w przypadku powierzenia części zamówienia podwykonawcom, Wykonawca wskazał w ofercie (</w:t>
      </w:r>
      <w:r>
        <w:rPr>
          <w:b/>
          <w:color w:val="000000"/>
        </w:rPr>
        <w:t>Formularzu ofertowym – Załącznik nr 1 do SWZ</w:t>
      </w:r>
      <w:r>
        <w:rPr>
          <w:color w:val="000000"/>
        </w:rPr>
        <w:t xml:space="preserve">) części zamówienia, których wykonanie zamierza powierzyć podwykonawcom oraz podał (o ile są mu wiadome na tym etapie) nazwy (firmy) tych podwykonawców. </w:t>
      </w:r>
    </w:p>
    <w:p w14:paraId="6D6DA235" w14:textId="77777777" w:rsidR="00EC2759" w:rsidRDefault="00B208DA">
      <w:pPr>
        <w:numPr>
          <w:ilvl w:val="0"/>
          <w:numId w:val="7"/>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w:t>
      </w:r>
      <w:proofErr w:type="spellStart"/>
      <w:r>
        <w:rPr>
          <w:color w:val="000000"/>
        </w:rPr>
        <w:t>Pzp</w:t>
      </w:r>
      <w:proofErr w:type="spellEnd"/>
      <w:r>
        <w:rPr>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color w:val="000000"/>
        </w:rPr>
        <w:t>Pzp</w:t>
      </w:r>
      <w:proofErr w:type="spellEnd"/>
      <w:r>
        <w:rPr>
          <w:color w:val="000000"/>
        </w:rPr>
        <w:t xml:space="preserve"> stosuje się odpowiednio. </w:t>
      </w:r>
    </w:p>
    <w:p w14:paraId="21F4B1FC" w14:textId="77777777" w:rsidR="00EC2759" w:rsidRDefault="00B208DA">
      <w:pPr>
        <w:spacing w:after="0" w:line="259" w:lineRule="auto"/>
        <w:ind w:left="360" w:right="0" w:firstLine="0"/>
        <w:jc w:val="left"/>
      </w:pPr>
      <w:r>
        <w:rPr>
          <w:color w:val="000000"/>
        </w:rPr>
        <w:t xml:space="preserve"> </w:t>
      </w:r>
    </w:p>
    <w:p w14:paraId="435CC539" w14:textId="77777777" w:rsidR="00EC2759" w:rsidRDefault="00B208DA">
      <w:pPr>
        <w:numPr>
          <w:ilvl w:val="0"/>
          <w:numId w:val="7"/>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pPr>
        <w:numPr>
          <w:ilvl w:val="0"/>
          <w:numId w:val="7"/>
        </w:numPr>
        <w:spacing w:after="41" w:line="269" w:lineRule="auto"/>
        <w:ind w:right="187" w:hanging="283"/>
      </w:pPr>
      <w:r>
        <w:rPr>
          <w:color w:val="000000"/>
        </w:rPr>
        <w:t xml:space="preserve">Wymagania dotyczące umowy o podwykonawstwo, określa ustawa </w:t>
      </w:r>
      <w:proofErr w:type="spellStart"/>
      <w:r>
        <w:rPr>
          <w:color w:val="000000"/>
        </w:rPr>
        <w:t>Pzp</w:t>
      </w:r>
      <w:proofErr w:type="spellEnd"/>
      <w:r>
        <w:rPr>
          <w:color w:val="000000"/>
        </w:rPr>
        <w:t>.</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0AAA964B" w:rsidR="00EC2759" w:rsidRDefault="00B208DA">
      <w:pPr>
        <w:spacing w:after="37"/>
        <w:ind w:left="72" w:right="0"/>
        <w:jc w:val="left"/>
      </w:pPr>
      <w:r>
        <w:rPr>
          <w:color w:val="000000"/>
        </w:rPr>
        <w:t xml:space="preserve">Termin realizacji zamówienia: </w:t>
      </w:r>
      <w:r w:rsidR="00E17A55">
        <w:rPr>
          <w:color w:val="000000"/>
        </w:rPr>
        <w:t xml:space="preserve">36 miesięcy tj. </w:t>
      </w:r>
      <w:r>
        <w:rPr>
          <w:b/>
          <w:color w:val="000000"/>
        </w:rPr>
        <w:t>od 01.0</w:t>
      </w:r>
      <w:r w:rsidR="006102EB">
        <w:rPr>
          <w:b/>
          <w:color w:val="000000"/>
        </w:rPr>
        <w:t>6</w:t>
      </w:r>
      <w:r>
        <w:rPr>
          <w:b/>
          <w:color w:val="000000"/>
        </w:rPr>
        <w:t>.2024 r. do  31.</w:t>
      </w:r>
      <w:r w:rsidR="00DE65A0">
        <w:rPr>
          <w:b/>
          <w:color w:val="000000"/>
        </w:rPr>
        <w:t>0</w:t>
      </w:r>
      <w:r w:rsidR="006102EB">
        <w:rPr>
          <w:b/>
          <w:color w:val="000000"/>
        </w:rPr>
        <w:t>5</w:t>
      </w:r>
      <w:r>
        <w:rPr>
          <w:b/>
          <w:color w:val="000000"/>
        </w:rPr>
        <w:t>.202</w:t>
      </w:r>
      <w:r w:rsidR="00C92589">
        <w:rPr>
          <w:b/>
          <w:color w:val="000000"/>
        </w:rPr>
        <w:t>7</w:t>
      </w:r>
      <w:r>
        <w:rPr>
          <w:b/>
          <w:color w:val="000000"/>
        </w:rPr>
        <w:t xml:space="preserve"> r.  </w:t>
      </w:r>
    </w:p>
    <w:p w14:paraId="22AA0511" w14:textId="77777777" w:rsidR="00EC2759" w:rsidRDefault="00B208DA">
      <w:pPr>
        <w:spacing w:after="20" w:line="259" w:lineRule="auto"/>
        <w:ind w:left="437" w:right="0" w:firstLine="0"/>
        <w:jc w:val="left"/>
      </w:pPr>
      <w:r>
        <w:rPr>
          <w:b/>
          <w:color w:val="FF0000"/>
          <w:sz w:val="24"/>
        </w:rPr>
        <w:t xml:space="preserve"> </w:t>
      </w:r>
    </w:p>
    <w:p w14:paraId="6F910F73" w14:textId="77777777" w:rsidR="00EC2759" w:rsidRDefault="00B208DA">
      <w:pPr>
        <w:pStyle w:val="Nagwek3"/>
        <w:spacing w:after="143"/>
        <w:ind w:left="72" w:right="185"/>
      </w:pPr>
      <w:r>
        <w:lastRenderedPageBreak/>
        <w:t xml:space="preserve">Rozdział IX Informacja o warunkach udziału w postępowaniu  </w:t>
      </w:r>
    </w:p>
    <w:p w14:paraId="2B0AAA69" w14:textId="77777777" w:rsidR="00EC2759" w:rsidRDefault="00B208DA">
      <w:pPr>
        <w:numPr>
          <w:ilvl w:val="0"/>
          <w:numId w:val="8"/>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pPr>
        <w:numPr>
          <w:ilvl w:val="0"/>
          <w:numId w:val="8"/>
        </w:numPr>
        <w:ind w:left="366" w:right="187" w:hanging="283"/>
      </w:pPr>
      <w:r>
        <w:t xml:space="preserve">O udzielenie zamówienia mogą ubiegać się Wykonawcy, którzy spełniają </w:t>
      </w:r>
      <w:r>
        <w:rPr>
          <w:b/>
        </w:rPr>
        <w:t>warunki udziału w postępowaniu</w:t>
      </w:r>
      <w:r>
        <w:t xml:space="preserve">, określone na podstawie art. 112 ustawy </w:t>
      </w:r>
      <w:proofErr w:type="spellStart"/>
      <w:r>
        <w:t>Pzp</w:t>
      </w:r>
      <w:proofErr w:type="spellEnd"/>
      <w:r>
        <w:t xml:space="preserve">, </w:t>
      </w:r>
      <w:r>
        <w:rPr>
          <w:b/>
        </w:rPr>
        <w:t xml:space="preserve">dotyczące: </w:t>
      </w:r>
    </w:p>
    <w:p w14:paraId="31EAC35C" w14:textId="77777777" w:rsidR="00EC2759" w:rsidRDefault="00B208DA">
      <w:pPr>
        <w:numPr>
          <w:ilvl w:val="1"/>
          <w:numId w:val="8"/>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pPr>
        <w:numPr>
          <w:ilvl w:val="1"/>
          <w:numId w:val="8"/>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77777777" w:rsidR="00EC2759" w:rsidRDefault="00B208DA">
      <w:pPr>
        <w:ind w:left="653" w:right="187"/>
      </w:pPr>
      <w:r>
        <w:t>Zamawiający uzna, że Wykonawca spełnia warunek w powyższym zakresie, jeżeli wykaże, że posiada aktualne zezwolenie na prowadzenie działalności bankowej, a także realizacji usług objętych przedmiotem zamówienia, zgodnie z przepisami ustawy z dnia 29 sierpnia 1997 r. Prawo bankowe (</w:t>
      </w:r>
      <w:proofErr w:type="spellStart"/>
      <w:r>
        <w:t>t.j</w:t>
      </w:r>
      <w:proofErr w:type="spellEnd"/>
      <w:r>
        <w:t xml:space="preserve">. Dz. U. z 2022 r. poz. 2324 z </w:t>
      </w:r>
      <w:proofErr w:type="spellStart"/>
      <w:r>
        <w:t>późn</w:t>
      </w:r>
      <w:proofErr w:type="spellEnd"/>
      <w:r>
        <w:t xml:space="preserve">. zm.), a w przypadku określonym w art. 178 ust. 1 ustawy Prawo bankowe inny dokument potwierdzający rozpoczęcie działalności przed dniem wejścia w życie ustawy, o której mowa w art. 193 ustawy Prawo bankowe. </w:t>
      </w:r>
    </w:p>
    <w:p w14:paraId="374BCB26" w14:textId="77777777" w:rsidR="00EC2759" w:rsidRDefault="00B208DA">
      <w:pPr>
        <w:numPr>
          <w:ilvl w:val="1"/>
          <w:numId w:val="8"/>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C92589" w:rsidRDefault="00B208DA">
      <w:pPr>
        <w:numPr>
          <w:ilvl w:val="1"/>
          <w:numId w:val="8"/>
        </w:numPr>
        <w:spacing w:after="9" w:line="267" w:lineRule="auto"/>
        <w:ind w:right="69" w:hanging="283"/>
        <w:jc w:val="left"/>
      </w:pPr>
      <w:r>
        <w:rPr>
          <w:b/>
          <w:u w:val="single" w:color="00000A"/>
        </w:rPr>
        <w:t>zdolności technicznej lub zawodowej:</w:t>
      </w:r>
      <w:r>
        <w:rPr>
          <w:b/>
        </w:rPr>
        <w:t xml:space="preserve"> </w:t>
      </w:r>
    </w:p>
    <w:p w14:paraId="58A94347" w14:textId="22E36557" w:rsidR="00C92589" w:rsidRDefault="00C92589" w:rsidP="00C92589">
      <w:pPr>
        <w:spacing w:after="9" w:line="267" w:lineRule="auto"/>
        <w:ind w:left="628" w:right="69" w:firstLine="0"/>
        <w:jc w:val="left"/>
      </w:pPr>
      <w:r w:rsidRPr="00C92589">
        <w:t>Zamawiający nie określa warunku w powyższym zakresie.</w:t>
      </w:r>
    </w:p>
    <w:p w14:paraId="6AA0B45C" w14:textId="77777777" w:rsidR="00EC2759" w:rsidRDefault="00B208DA">
      <w:pPr>
        <w:numPr>
          <w:ilvl w:val="0"/>
          <w:numId w:val="8"/>
        </w:numPr>
        <w:spacing w:after="7"/>
        <w:ind w:left="366" w:right="187" w:hanging="283"/>
      </w:pPr>
      <w: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34204A" w14:textId="77777777" w:rsidR="00EC2759" w:rsidRDefault="00B208DA">
      <w:pPr>
        <w:spacing w:after="19" w:line="259" w:lineRule="auto"/>
        <w:ind w:left="530" w:right="0" w:firstLine="0"/>
        <w:jc w:val="left"/>
      </w:pPr>
      <w:r>
        <w:t xml:space="preserve"> </w:t>
      </w:r>
    </w:p>
    <w:p w14:paraId="74D12CC8" w14:textId="77777777" w:rsidR="00EC2759" w:rsidRDefault="00B208DA">
      <w:pPr>
        <w:pStyle w:val="Nagwek3"/>
        <w:spacing w:after="143"/>
        <w:ind w:left="72" w:right="185"/>
      </w:pPr>
      <w:r>
        <w:t xml:space="preserve">Rozdział X Podstawy wykluczenia z postępowania </w:t>
      </w:r>
    </w:p>
    <w:p w14:paraId="17AFE161" w14:textId="77777777" w:rsidR="00EC2759" w:rsidRDefault="00B208DA">
      <w:pPr>
        <w:numPr>
          <w:ilvl w:val="0"/>
          <w:numId w:val="9"/>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w:t>
      </w:r>
      <w:proofErr w:type="spellStart"/>
      <w:r>
        <w:rPr>
          <w:color w:val="000000"/>
        </w:rPr>
        <w:t>Pzp</w:t>
      </w:r>
      <w:proofErr w:type="spellEnd"/>
      <w:r>
        <w:rPr>
          <w:color w:val="000000"/>
        </w:rPr>
        <w:t xml:space="preserve"> tj. Wykonawcę:  </w:t>
      </w:r>
    </w:p>
    <w:p w14:paraId="51660F4B" w14:textId="77777777" w:rsidR="00EC2759" w:rsidRDefault="00B208DA">
      <w:pPr>
        <w:numPr>
          <w:ilvl w:val="1"/>
          <w:numId w:val="9"/>
        </w:numPr>
        <w:ind w:right="187" w:hanging="425"/>
      </w:pPr>
      <w:r>
        <w:t>będącego osobą fizyczną, którego prawomocnie skazano za przestępstwo:</w:t>
      </w:r>
      <w:r>
        <w:rPr>
          <w:color w:val="000000"/>
        </w:rPr>
        <w:t xml:space="preserve"> </w:t>
      </w:r>
    </w:p>
    <w:p w14:paraId="53658DE8" w14:textId="77777777" w:rsidR="00EC2759" w:rsidRDefault="00B208DA">
      <w:pPr>
        <w:numPr>
          <w:ilvl w:val="2"/>
          <w:numId w:val="9"/>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pPr>
        <w:numPr>
          <w:ilvl w:val="2"/>
          <w:numId w:val="9"/>
        </w:numPr>
        <w:ind w:right="187" w:hanging="286"/>
      </w:pPr>
      <w:r>
        <w:t xml:space="preserve">handlu ludźmi, o którym mowa w art. 189a Kodeksu karnego, </w:t>
      </w:r>
    </w:p>
    <w:p w14:paraId="33F14E92" w14:textId="77777777" w:rsidR="00EC2759" w:rsidRDefault="00B208DA">
      <w:pPr>
        <w:numPr>
          <w:ilvl w:val="2"/>
          <w:numId w:val="9"/>
        </w:numPr>
        <w:ind w:right="187" w:hanging="286"/>
      </w:pPr>
      <w:r>
        <w:t xml:space="preserve">o którym mowa w art. 228-230a, art. 250a Kodeksu karnego, </w:t>
      </w:r>
      <w:r>
        <w:rPr>
          <w:color w:val="000000"/>
        </w:rPr>
        <w:t>w</w:t>
      </w:r>
      <w:r>
        <w:t xml:space="preserve"> art. 46-48 ustawy z dnia  25 czerwca 2010 r. o sporcie (Dz. U. z 2022 r. poz. 1599 z </w:t>
      </w:r>
      <w:proofErr w:type="spellStart"/>
      <w:r>
        <w:t>późn</w:t>
      </w:r>
      <w:proofErr w:type="spellEnd"/>
      <w:r>
        <w:t xml:space="preserve">. zm.) lub w art. 54 ust. 1-4 ustawy z dnia 12 maja 2011 r. o refundacji leków, środków spożywczych specjalnego przeznaczenia żywieniowego oraz wyrobów medycznych (Dz. U. z 2023 r. poz. 826 z </w:t>
      </w:r>
      <w:proofErr w:type="spellStart"/>
      <w:r>
        <w:t>późn</w:t>
      </w:r>
      <w:proofErr w:type="spellEnd"/>
      <w:r>
        <w:t xml:space="preserve">. zm.), </w:t>
      </w:r>
    </w:p>
    <w:p w14:paraId="4B60185F" w14:textId="77777777" w:rsidR="00EC2759" w:rsidRDefault="00B208DA">
      <w:pPr>
        <w:numPr>
          <w:ilvl w:val="2"/>
          <w:numId w:val="9"/>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pPr>
        <w:numPr>
          <w:ilvl w:val="2"/>
          <w:numId w:val="9"/>
        </w:numPr>
        <w:ind w:right="187" w:hanging="286"/>
      </w:pPr>
      <w:r>
        <w:t xml:space="preserve">o charakterze terrorystycznym, o którym mowa w art. 115 § 20 Kodeksu karnego, lub mające na celu popełnienie tego przestępstwa, </w:t>
      </w:r>
    </w:p>
    <w:p w14:paraId="0118479B" w14:textId="77777777" w:rsidR="00EC2759" w:rsidRDefault="00B208DA">
      <w:pPr>
        <w:numPr>
          <w:ilvl w:val="2"/>
          <w:numId w:val="9"/>
        </w:numPr>
        <w:spacing w:after="8"/>
        <w:ind w:right="187" w:hanging="286"/>
      </w:pPr>
      <w: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pPr>
        <w:numPr>
          <w:ilvl w:val="2"/>
          <w:numId w:val="9"/>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pPr>
        <w:numPr>
          <w:ilvl w:val="2"/>
          <w:numId w:val="9"/>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pPr>
        <w:numPr>
          <w:ilvl w:val="1"/>
          <w:numId w:val="9"/>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pPr>
        <w:numPr>
          <w:ilvl w:val="1"/>
          <w:numId w:val="9"/>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pPr>
        <w:numPr>
          <w:ilvl w:val="1"/>
          <w:numId w:val="9"/>
        </w:numPr>
        <w:ind w:right="187" w:hanging="425"/>
      </w:pPr>
      <w:r>
        <w:t xml:space="preserve">wobec którego prawomocnie orzeczono zakaz ubiegania się o zamówienia publiczne; </w:t>
      </w:r>
    </w:p>
    <w:p w14:paraId="55E477EE" w14:textId="77777777" w:rsidR="00EC2759" w:rsidRDefault="00B208DA">
      <w:pPr>
        <w:numPr>
          <w:ilvl w:val="1"/>
          <w:numId w:val="9"/>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pPr>
        <w:numPr>
          <w:ilvl w:val="1"/>
          <w:numId w:val="9"/>
        </w:numPr>
        <w:ind w:right="187" w:hanging="425"/>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pPr>
        <w:numPr>
          <w:ilvl w:val="0"/>
          <w:numId w:val="9"/>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w:t>
      </w:r>
      <w:proofErr w:type="spellStart"/>
      <w:r>
        <w:rPr>
          <w:color w:val="000000"/>
        </w:rPr>
        <w:t>Pzp</w:t>
      </w:r>
      <w:proofErr w:type="spellEnd"/>
      <w:r>
        <w:rPr>
          <w:color w:val="000000"/>
        </w:rPr>
        <w:t xml:space="preserve"> tj. Wykonawcę:  </w:t>
      </w:r>
    </w:p>
    <w:p w14:paraId="7813D250" w14:textId="77777777" w:rsidR="00EC2759" w:rsidRDefault="00B208DA">
      <w:pPr>
        <w:numPr>
          <w:ilvl w:val="1"/>
          <w:numId w:val="9"/>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pPr>
        <w:numPr>
          <w:ilvl w:val="0"/>
          <w:numId w:val="9"/>
        </w:numPr>
        <w:spacing w:after="41" w:line="269" w:lineRule="auto"/>
        <w:ind w:right="187" w:hanging="283"/>
      </w:pPr>
      <w:r>
        <w:rPr>
          <w:color w:val="000000"/>
        </w:rPr>
        <w:t xml:space="preserve">Wykluczenie Wykonawcy następuje w okresie zgodnym z art. 111 ustawy </w:t>
      </w:r>
      <w:proofErr w:type="spellStart"/>
      <w:r>
        <w:rPr>
          <w:color w:val="000000"/>
        </w:rPr>
        <w:t>Pzp</w:t>
      </w:r>
      <w:proofErr w:type="spellEnd"/>
      <w:r>
        <w:rPr>
          <w:color w:val="000000"/>
        </w:rPr>
        <w:t xml:space="preserve">.  </w:t>
      </w:r>
    </w:p>
    <w:p w14:paraId="3F9AD5BA" w14:textId="77777777" w:rsidR="00EC2759" w:rsidRDefault="00B208DA">
      <w:pPr>
        <w:numPr>
          <w:ilvl w:val="0"/>
          <w:numId w:val="9"/>
        </w:numPr>
        <w:spacing w:after="41" w:line="269" w:lineRule="auto"/>
        <w:ind w:right="187" w:hanging="283"/>
      </w:pPr>
      <w:r>
        <w:rPr>
          <w:color w:val="000000"/>
        </w:rPr>
        <w:t xml:space="preserve">W okolicznościach określonych w art. 108 ust. 1 pkt 1, 2 i 5 lub art. 109 ust. 1 pkt 4 ustawy </w:t>
      </w:r>
      <w:proofErr w:type="spellStart"/>
      <w:r>
        <w:rPr>
          <w:color w:val="000000"/>
        </w:rPr>
        <w:t>Pzp</w:t>
      </w:r>
      <w:proofErr w:type="spellEnd"/>
      <w:r>
        <w:rPr>
          <w:color w:val="000000"/>
        </w:rPr>
        <w:t xml:space="preserve">, wykonawca nie podlega wykluczeniu jeżeli udowodni zamawiającemu, że spełnił łącznie następujące przesłanki: </w:t>
      </w:r>
    </w:p>
    <w:p w14:paraId="32061C22" w14:textId="77777777" w:rsidR="00EC2759" w:rsidRDefault="00B208DA">
      <w:pPr>
        <w:numPr>
          <w:ilvl w:val="1"/>
          <w:numId w:val="9"/>
        </w:numPr>
        <w:spacing w:after="41" w:line="269" w:lineRule="auto"/>
        <w:ind w:right="187" w:hanging="425"/>
      </w:pPr>
      <w:r>
        <w:rPr>
          <w:color w:val="000000"/>
        </w:rPr>
        <w:lastRenderedPageBreak/>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pPr>
        <w:numPr>
          <w:ilvl w:val="1"/>
          <w:numId w:val="9"/>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pPr>
        <w:numPr>
          <w:ilvl w:val="1"/>
          <w:numId w:val="9"/>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pPr>
        <w:numPr>
          <w:ilvl w:val="2"/>
          <w:numId w:val="9"/>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pPr>
        <w:numPr>
          <w:ilvl w:val="2"/>
          <w:numId w:val="9"/>
        </w:numPr>
        <w:spacing w:after="41" w:line="269" w:lineRule="auto"/>
        <w:ind w:right="187" w:hanging="286"/>
      </w:pPr>
      <w:r>
        <w:rPr>
          <w:color w:val="000000"/>
        </w:rPr>
        <w:t xml:space="preserve">zreorganizował personel, </w:t>
      </w:r>
    </w:p>
    <w:p w14:paraId="45F5870F" w14:textId="77777777" w:rsidR="00EC2759" w:rsidRDefault="00B208DA">
      <w:pPr>
        <w:numPr>
          <w:ilvl w:val="2"/>
          <w:numId w:val="9"/>
        </w:numPr>
        <w:spacing w:after="41" w:line="269" w:lineRule="auto"/>
        <w:ind w:right="187" w:hanging="286"/>
      </w:pPr>
      <w:r>
        <w:rPr>
          <w:color w:val="000000"/>
        </w:rPr>
        <w:t xml:space="preserve">wdrożył system sprawozdawczości i kontroli, </w:t>
      </w:r>
    </w:p>
    <w:p w14:paraId="774B300D" w14:textId="77777777" w:rsidR="00EC2759" w:rsidRDefault="00B208DA">
      <w:pPr>
        <w:numPr>
          <w:ilvl w:val="2"/>
          <w:numId w:val="9"/>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pPr>
        <w:numPr>
          <w:ilvl w:val="2"/>
          <w:numId w:val="9"/>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pPr>
        <w:numPr>
          <w:ilvl w:val="0"/>
          <w:numId w:val="9"/>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pPr>
        <w:numPr>
          <w:ilvl w:val="0"/>
          <w:numId w:val="9"/>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w:t>
      </w:r>
      <w:proofErr w:type="spellStart"/>
      <w:r>
        <w:rPr>
          <w:color w:val="000000"/>
        </w:rPr>
        <w:t>późn</w:t>
      </w:r>
      <w:proofErr w:type="spellEnd"/>
      <w:r>
        <w:rPr>
          <w:color w:val="000000"/>
        </w:rPr>
        <w:t xml:space="preserve">. zm.), zwanej dalej „ustawą” wyklucza się: </w:t>
      </w:r>
    </w:p>
    <w:p w14:paraId="5D7133EF" w14:textId="77777777" w:rsidR="00EC2759" w:rsidRDefault="00B208DA">
      <w:pPr>
        <w:numPr>
          <w:ilvl w:val="1"/>
          <w:numId w:val="9"/>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pPr>
        <w:numPr>
          <w:ilvl w:val="1"/>
          <w:numId w:val="9"/>
        </w:numPr>
        <w:ind w:right="187" w:hanging="425"/>
      </w:pPr>
      <w:r>
        <w:t xml:space="preserve">Wykonawcę, którego beneficjentem rzeczywistym w rozumieniu ustawy z dnia 1 marca 2018 r.  o przeciwdziałaniu praniu pieniędzy oraz finansowaniu terroryzmu (Dz. U. z 2023 r. poz. 1124  z </w:t>
      </w:r>
      <w:proofErr w:type="spellStart"/>
      <w:r>
        <w:t>późn</w:t>
      </w:r>
      <w:proofErr w:type="spellEnd"/>
      <w: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pPr>
        <w:numPr>
          <w:ilvl w:val="1"/>
          <w:numId w:val="9"/>
        </w:numPr>
        <w:spacing w:after="7"/>
        <w:ind w:right="187" w:hanging="425"/>
      </w:pPr>
      <w:r>
        <w:t xml:space="preserve">Wykonawcę, którego jednostką dominującą w rozumieniu art. 3 ust. 1 pkt 37 ustawy z dnia  29 września 1994 r. o rachunkowości (Dz. U. z 2023 r. poz. 120 z </w:t>
      </w:r>
      <w:proofErr w:type="spellStart"/>
      <w:r>
        <w:t>późn</w:t>
      </w:r>
      <w:proofErr w:type="spellEnd"/>
      <w:r>
        <w:t xml:space="preserve">.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lastRenderedPageBreak/>
        <w:t xml:space="preserve">Rozdział </w:t>
      </w:r>
      <w:r>
        <w:t>XI</w:t>
      </w:r>
    </w:p>
    <w:p w14:paraId="5AB2B560" w14:textId="77777777"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pPr>
        <w:numPr>
          <w:ilvl w:val="0"/>
          <w:numId w:val="10"/>
        </w:numPr>
        <w:ind w:right="187" w:hanging="360"/>
      </w:pPr>
      <w:r>
        <w:t xml:space="preserve">Zgodnie z art. 273 ust. 2 ustawy </w:t>
      </w:r>
      <w:proofErr w:type="spellStart"/>
      <w:r>
        <w:t>Pzp</w:t>
      </w:r>
      <w:proofErr w:type="spellEnd"/>
      <w:r>
        <w:t xml:space="preserve"> do oferty Wykonawca zobowiązany jest dołączyć aktualne  na dzień składania ofert oświadczenie, o którym mowa w art. 125 ust. 1 ustawy </w:t>
      </w:r>
      <w:proofErr w:type="spellStart"/>
      <w:r>
        <w:t>Pzp</w:t>
      </w:r>
      <w:proofErr w:type="spellEnd"/>
      <w:r>
        <w:t xml:space="preserve"> o spełnianiu warunków udziału w postępowaniu oraz o braku podstaw do wykluczenia z postępowania – zgodnie z </w:t>
      </w:r>
      <w:r>
        <w:rPr>
          <w:b/>
        </w:rPr>
        <w:t>Załącznikiem nr 2 do SWZ.</w:t>
      </w:r>
      <w:r>
        <w:t xml:space="preserve"> </w:t>
      </w:r>
    </w:p>
    <w:p w14:paraId="32B1E6F4" w14:textId="77777777" w:rsidR="00EC2759" w:rsidRDefault="00B208DA">
      <w:pPr>
        <w:numPr>
          <w:ilvl w:val="0"/>
          <w:numId w:val="10"/>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pPr>
        <w:numPr>
          <w:ilvl w:val="0"/>
          <w:numId w:val="10"/>
        </w:numPr>
        <w:spacing w:after="41" w:line="269" w:lineRule="auto"/>
        <w:ind w:right="187" w:hanging="360"/>
      </w:pPr>
      <w:r>
        <w:rPr>
          <w:color w:val="000000"/>
        </w:rPr>
        <w:t xml:space="preserve">Zamawiający, zgodnie z art. 274 ust. 1 ustawy </w:t>
      </w:r>
      <w:proofErr w:type="spellStart"/>
      <w:r>
        <w:rPr>
          <w:color w:val="000000"/>
        </w:rPr>
        <w:t>Pzp</w:t>
      </w:r>
      <w:proofErr w:type="spellEnd"/>
      <w:r>
        <w:rPr>
          <w:color w:val="000000"/>
        </w:rPr>
        <w:t xml:space="preserve">,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pPr>
        <w:numPr>
          <w:ilvl w:val="1"/>
          <w:numId w:val="10"/>
        </w:numPr>
        <w:spacing w:after="42" w:line="267" w:lineRule="auto"/>
        <w:ind w:right="0" w:hanging="427"/>
        <w:jc w:val="left"/>
      </w:pPr>
      <w:r>
        <w:rPr>
          <w:b/>
        </w:rPr>
        <w:t>wykaz podmiotowych środków dowodowych na potwierdzenie niepodlegania wykluczeniu:</w:t>
      </w:r>
      <w:r>
        <w:t xml:space="preserve"> </w:t>
      </w:r>
    </w:p>
    <w:p w14:paraId="7E2D8D0D" w14:textId="77777777" w:rsidR="00EC2759" w:rsidRDefault="00B208DA">
      <w:pPr>
        <w:numPr>
          <w:ilvl w:val="2"/>
          <w:numId w:val="10"/>
        </w:numPr>
        <w:spacing w:after="41" w:line="269" w:lineRule="auto"/>
        <w:ind w:right="187" w:hanging="360"/>
      </w:pPr>
      <w:r>
        <w:rPr>
          <w:b/>
          <w:color w:val="000000"/>
        </w:rPr>
        <w:t>Odpis lub informacja z Krajowego Rejestru Sądowego lub z Centralnej Ewidencji i Informacji  o Działalności Gospodarczej</w:t>
      </w:r>
      <w:r>
        <w:rPr>
          <w:color w:val="000000"/>
        </w:rPr>
        <w:t xml:space="preserve">, w zakresie art. 109 ust. 1 pkt 4 ustawy </w:t>
      </w:r>
      <w:proofErr w:type="spellStart"/>
      <w:r>
        <w:rPr>
          <w:color w:val="000000"/>
        </w:rPr>
        <w:t>Pzp</w:t>
      </w:r>
      <w:proofErr w:type="spellEnd"/>
      <w:r>
        <w:rPr>
          <w:color w:val="000000"/>
        </w:rPr>
        <w:t>, sporządzona nie wcześniej niż 3 miesiące przed jej złożeniem, jeżeli odrębne przepisy wymagają wpisu do rejestru lub ewidencji.</w:t>
      </w:r>
      <w:r>
        <w:t xml:space="preserve"> </w:t>
      </w:r>
    </w:p>
    <w:p w14:paraId="34892EFF" w14:textId="77777777" w:rsidR="00EC2759" w:rsidRDefault="00B208DA">
      <w:pPr>
        <w:numPr>
          <w:ilvl w:val="1"/>
          <w:numId w:val="10"/>
        </w:numPr>
        <w:spacing w:after="42" w:line="267" w:lineRule="auto"/>
        <w:ind w:right="0" w:hanging="427"/>
        <w:jc w:val="left"/>
      </w:pPr>
      <w:r>
        <w:rPr>
          <w:b/>
        </w:rPr>
        <w:t xml:space="preserve">wykaz podmiotowych środków dowodowych na potwierdzenie spełniania warunków udziału w postępowaniu: </w:t>
      </w:r>
    </w:p>
    <w:p w14:paraId="0DDCCF78" w14:textId="77777777" w:rsidR="00EC2759" w:rsidRDefault="00B208DA">
      <w:pPr>
        <w:numPr>
          <w:ilvl w:val="2"/>
          <w:numId w:val="10"/>
        </w:numPr>
        <w:ind w:right="187" w:hanging="360"/>
      </w:pPr>
      <w:r>
        <w:rPr>
          <w:b/>
        </w:rPr>
        <w:t>zezwolenia na prowadzenie działalności bankowej</w:t>
      </w:r>
      <w:r>
        <w:t>, a także realizacji usług objętych przedmiotem zamówienia, zgodnie z przepisami ustawy z dnia 29 sierpnia 1997 r. Prawo bankowe (</w:t>
      </w:r>
      <w:proofErr w:type="spellStart"/>
      <w:r>
        <w:t>t.j</w:t>
      </w:r>
      <w:proofErr w:type="spellEnd"/>
      <w:r>
        <w:t xml:space="preserve">. Dz. U. z 2022 r. poz. 2324 z </w:t>
      </w:r>
      <w:proofErr w:type="spellStart"/>
      <w:r>
        <w:t>późn</w:t>
      </w:r>
      <w:proofErr w:type="spellEnd"/>
      <w:r>
        <w:t xml:space="preserve">. zm.), a w przypadku określonym w art. 178 </w:t>
      </w:r>
    </w:p>
    <w:p w14:paraId="6B0FF879" w14:textId="77777777" w:rsidR="00EC2759" w:rsidRDefault="00B208DA">
      <w:pPr>
        <w:ind w:left="1157" w:right="187"/>
      </w:pPr>
      <w:r>
        <w:t xml:space="preserve">ust. 1 ustawy Prawo bankowe innego dokumentu potwierdzającego rozpoczęcie działalności przed dniem wejścia w życie ustawy, o której mowa w art. 193 ustawy Prawo bankowe; </w:t>
      </w:r>
    </w:p>
    <w:p w14:paraId="70E00463" w14:textId="77777777" w:rsidR="00EC2759" w:rsidRDefault="00B208DA">
      <w:pPr>
        <w:numPr>
          <w:ilvl w:val="0"/>
          <w:numId w:val="10"/>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pPr>
        <w:numPr>
          <w:ilvl w:val="1"/>
          <w:numId w:val="10"/>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pPr>
        <w:numPr>
          <w:ilvl w:val="2"/>
          <w:numId w:val="10"/>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pPr>
        <w:numPr>
          <w:ilvl w:val="0"/>
          <w:numId w:val="10"/>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Pr>
          <w:color w:val="000000"/>
        </w:rPr>
        <w:lastRenderedPageBreak/>
        <w:t xml:space="preserve">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pPr>
        <w:numPr>
          <w:ilvl w:val="0"/>
          <w:numId w:val="10"/>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color w:val="000000"/>
        </w:rPr>
        <w:t>Pzp</w:t>
      </w:r>
      <w:proofErr w:type="spellEnd"/>
      <w:r>
        <w:rPr>
          <w:color w:val="000000"/>
        </w:rPr>
        <w:t xml:space="preserve"> dane umożliwiające dostęp do tych środków. </w:t>
      </w:r>
    </w:p>
    <w:p w14:paraId="5FA12752" w14:textId="77777777" w:rsidR="00EC2759" w:rsidRDefault="00B208DA">
      <w:pPr>
        <w:numPr>
          <w:ilvl w:val="0"/>
          <w:numId w:val="10"/>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pPr>
        <w:numPr>
          <w:ilvl w:val="0"/>
          <w:numId w:val="10"/>
        </w:numPr>
        <w:spacing w:after="41" w:line="269" w:lineRule="auto"/>
        <w:ind w:right="187" w:hanging="360"/>
      </w:pPr>
      <w:r>
        <w:rPr>
          <w:color w:val="000000"/>
        </w:rPr>
        <w:t xml:space="preserve">W zakresie nieuregulowanym ustawą </w:t>
      </w:r>
      <w:proofErr w:type="spellStart"/>
      <w:r>
        <w:rPr>
          <w:color w:val="000000"/>
        </w:rPr>
        <w:t>Pzp</w:t>
      </w:r>
      <w:proofErr w:type="spellEnd"/>
      <w:r>
        <w:rPr>
          <w:color w:val="00000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Pr>
          <w:color w:val="000000"/>
        </w:rPr>
        <w:t>późn</w:t>
      </w:r>
      <w:proofErr w:type="spellEnd"/>
      <w:r>
        <w:rPr>
          <w:color w:val="000000"/>
        </w:rPr>
        <w:t xml:space="preserve">.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710450E" w14:textId="77777777" w:rsidR="00EC2759" w:rsidRDefault="00B208DA">
      <w:pPr>
        <w:spacing w:after="20" w:line="259" w:lineRule="auto"/>
        <w:ind w:left="77" w:right="0" w:firstLine="0"/>
        <w:jc w:val="left"/>
      </w:pPr>
      <w:r>
        <w:rPr>
          <w:b/>
          <w:sz w:val="24"/>
        </w:rPr>
        <w:t xml:space="preserve"> </w:t>
      </w:r>
    </w:p>
    <w:p w14:paraId="263613A9" w14:textId="77777777" w:rsidR="00EC2759" w:rsidRDefault="00B208DA">
      <w:pPr>
        <w:spacing w:after="12"/>
        <w:ind w:left="72" w:right="185"/>
      </w:pPr>
      <w:r>
        <w:rPr>
          <w:b/>
          <w:sz w:val="24"/>
        </w:rPr>
        <w:t xml:space="preserve">Rozdział XII </w:t>
      </w:r>
    </w:p>
    <w:p w14:paraId="039D119D" w14:textId="77777777" w:rsidR="00EC2759" w:rsidRDefault="00B208DA">
      <w:pPr>
        <w:pStyle w:val="Nagwek2"/>
        <w:spacing w:after="146"/>
        <w:ind w:left="72" w:right="183"/>
      </w:pPr>
      <w:r>
        <w:t xml:space="preserve">Poleganie na zasobach innych podmiotów </w:t>
      </w:r>
    </w:p>
    <w:p w14:paraId="3BB977FF" w14:textId="77777777" w:rsidR="00EC2759" w:rsidRDefault="00B208DA">
      <w:pPr>
        <w:numPr>
          <w:ilvl w:val="0"/>
          <w:numId w:val="11"/>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w:t>
      </w:r>
      <w:proofErr w:type="spellStart"/>
      <w:r>
        <w:rPr>
          <w:color w:val="000000"/>
        </w:rPr>
        <w:t>Pzp</w:t>
      </w:r>
      <w:proofErr w:type="spellEnd"/>
      <w:r>
        <w:rPr>
          <w:color w:val="000000"/>
        </w:rPr>
        <w:t xml:space="preserve">. Podmiot trzeci, na potencjał którego wykonawca powołuje się w celu wykazania spełnienia warunków udziału w postępowaniu, nie może podlegać wykluczeniu na podstawie art. 108 ust. 1 oraz art. 109 ust. 1 pkt 4 ustawy </w:t>
      </w:r>
      <w:proofErr w:type="spellStart"/>
      <w:r>
        <w:rPr>
          <w:color w:val="000000"/>
        </w:rPr>
        <w:t>Pzp</w:t>
      </w:r>
      <w:proofErr w:type="spellEnd"/>
      <w:r>
        <w:rPr>
          <w:color w:val="000000"/>
        </w:rPr>
        <w:t xml:space="preserve">, uwzględniając zapisy rozdziału X ust. 6 SWZ.  </w:t>
      </w:r>
    </w:p>
    <w:p w14:paraId="553D41CF" w14:textId="77777777" w:rsidR="00EC2759" w:rsidRDefault="00B208DA">
      <w:pPr>
        <w:numPr>
          <w:ilvl w:val="0"/>
          <w:numId w:val="11"/>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pPr>
        <w:numPr>
          <w:ilvl w:val="0"/>
          <w:numId w:val="11"/>
        </w:numPr>
        <w:spacing w:after="41" w:line="269" w:lineRule="auto"/>
        <w:ind w:right="187" w:hanging="283"/>
      </w:pPr>
      <w:r>
        <w:rPr>
          <w:color w:val="000000"/>
        </w:rPr>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pPr>
        <w:numPr>
          <w:ilvl w:val="0"/>
          <w:numId w:val="11"/>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pPr>
        <w:numPr>
          <w:ilvl w:val="1"/>
          <w:numId w:val="11"/>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pPr>
        <w:numPr>
          <w:ilvl w:val="1"/>
          <w:numId w:val="11"/>
        </w:numPr>
        <w:spacing w:after="41" w:line="269" w:lineRule="auto"/>
        <w:ind w:right="187" w:hanging="283"/>
      </w:pPr>
      <w:r>
        <w:rPr>
          <w:color w:val="000000"/>
        </w:rPr>
        <w:lastRenderedPageBreak/>
        <w:t xml:space="preserve">sposób i okres udostępnienia wykonawcy i wykorzystania przez niego zasobów podmiotu udostępniającego te zasoby przy wykonywaniu zamówienia; </w:t>
      </w:r>
    </w:p>
    <w:p w14:paraId="15ECB606" w14:textId="77777777" w:rsidR="00EC2759" w:rsidRDefault="00B208DA">
      <w:pPr>
        <w:numPr>
          <w:ilvl w:val="1"/>
          <w:numId w:val="11"/>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pPr>
        <w:numPr>
          <w:ilvl w:val="0"/>
          <w:numId w:val="11"/>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rozdziale XI ust. 3 pkt 1 lit. a dotyczące tych podmiotów, potwierdzających, że nie zachodzą wobec tych podmiotów podstawy wykluczenia z postępowania. </w:t>
      </w:r>
    </w:p>
    <w:p w14:paraId="365BE156" w14:textId="77777777" w:rsidR="00EC2759" w:rsidRDefault="00B208DA">
      <w:pPr>
        <w:numPr>
          <w:ilvl w:val="0"/>
          <w:numId w:val="11"/>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pPr>
        <w:numPr>
          <w:ilvl w:val="0"/>
          <w:numId w:val="11"/>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pPr>
        <w:numPr>
          <w:ilvl w:val="0"/>
          <w:numId w:val="11"/>
        </w:numPr>
        <w:spacing w:after="2" w:line="269" w:lineRule="auto"/>
        <w:ind w:right="187" w:hanging="283"/>
      </w:pPr>
      <w:r>
        <w:rPr>
          <w:color w:val="000000"/>
        </w:rPr>
        <w:t xml:space="preserve">W sprawach dotyczących polegania na zasobach podmiotów trzecich zastosowanie znajdują przepisy ustawy </w:t>
      </w:r>
      <w:proofErr w:type="spellStart"/>
      <w:r>
        <w:rPr>
          <w:color w:val="000000"/>
        </w:rPr>
        <w:t>Pzp</w:t>
      </w:r>
      <w:proofErr w:type="spellEnd"/>
      <w:r>
        <w:rPr>
          <w:color w:val="000000"/>
        </w:rPr>
        <w:t xml:space="preserve">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77777777" w:rsidR="00EC2759" w:rsidRDefault="00B208DA">
      <w:pPr>
        <w:pStyle w:val="Nagwek3"/>
        <w:spacing w:after="142"/>
        <w:ind w:left="72" w:right="185"/>
      </w:pPr>
      <w:r>
        <w:t xml:space="preserve">Rozdział XIII Informacja dla Wykonawców wspólnie ubiegających się o udzielenie zamówienia (spółki cywilne/konsorcja) </w:t>
      </w:r>
    </w:p>
    <w:p w14:paraId="00968BEE" w14:textId="77777777" w:rsidR="00EC2759" w:rsidRDefault="00B208DA">
      <w:pPr>
        <w:numPr>
          <w:ilvl w:val="0"/>
          <w:numId w:val="12"/>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pPr>
        <w:numPr>
          <w:ilvl w:val="1"/>
          <w:numId w:val="12"/>
        </w:numPr>
        <w:ind w:right="187" w:hanging="283"/>
      </w:pPr>
      <w:r>
        <w:t>postępowania o zamówienie publiczne, którego dotyczy,</w:t>
      </w:r>
      <w:r>
        <w:rPr>
          <w:b/>
        </w:rPr>
        <w:t xml:space="preserve"> </w:t>
      </w:r>
    </w:p>
    <w:p w14:paraId="7AD2A44E" w14:textId="77777777" w:rsidR="00EC2759" w:rsidRDefault="00B208DA">
      <w:pPr>
        <w:numPr>
          <w:ilvl w:val="1"/>
          <w:numId w:val="12"/>
        </w:numPr>
        <w:ind w:right="187" w:hanging="283"/>
      </w:pPr>
      <w:r>
        <w:t xml:space="preserve">wszystkich wykonawców ubiegających się wspólnie o udzielenie zamówienia wymienionych z nazwy z określeniem adresu siedziby, </w:t>
      </w:r>
    </w:p>
    <w:p w14:paraId="7DF632D0" w14:textId="77777777" w:rsidR="00EC2759" w:rsidRDefault="00B208DA">
      <w:pPr>
        <w:numPr>
          <w:ilvl w:val="1"/>
          <w:numId w:val="12"/>
        </w:numPr>
        <w:ind w:right="187" w:hanging="283"/>
      </w:pPr>
      <w:r>
        <w:t xml:space="preserve">ustanowionego pełnomocnika oraz zakresu jego umocowania. </w:t>
      </w:r>
    </w:p>
    <w:p w14:paraId="69086280" w14:textId="77777777" w:rsidR="00EC2759" w:rsidRDefault="00B208DA">
      <w:pPr>
        <w:numPr>
          <w:ilvl w:val="0"/>
          <w:numId w:val="12"/>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pPr>
        <w:numPr>
          <w:ilvl w:val="0"/>
          <w:numId w:val="12"/>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pPr>
        <w:numPr>
          <w:ilvl w:val="0"/>
          <w:numId w:val="12"/>
        </w:numPr>
        <w:spacing w:after="41" w:line="269" w:lineRule="auto"/>
        <w:ind w:right="187" w:hanging="283"/>
      </w:pPr>
      <w:r>
        <w:rPr>
          <w:color w:val="000000"/>
        </w:rPr>
        <w:lastRenderedPageBreak/>
        <w:t xml:space="preserve">Warunek dotyczący uprawnień do prowadzenia określonej działalności gospodarczej lub zawodowej, o którym mowa w art. 112 ust. 2 pkt 2 ustawy </w:t>
      </w:r>
      <w:proofErr w:type="spellStart"/>
      <w:r>
        <w:rPr>
          <w:color w:val="000000"/>
        </w:rPr>
        <w:t>Pzp</w:t>
      </w:r>
      <w:proofErr w:type="spellEnd"/>
      <w:r>
        <w:rPr>
          <w:color w:val="000000"/>
        </w:rPr>
        <w:t>,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pPr>
        <w:numPr>
          <w:ilvl w:val="0"/>
          <w:numId w:val="12"/>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pPr>
        <w:numPr>
          <w:ilvl w:val="0"/>
          <w:numId w:val="12"/>
        </w:numPr>
        <w:spacing w:after="41" w:line="269" w:lineRule="auto"/>
        <w:ind w:right="187" w:hanging="283"/>
      </w:pPr>
      <w:r>
        <w:rPr>
          <w:color w:val="000000"/>
        </w:rPr>
        <w:t xml:space="preserve">Oświadczenie, o którym mowa w ust. 5 składają także podmioty stanowiące spółkę cywilną. </w:t>
      </w:r>
    </w:p>
    <w:p w14:paraId="6642CFBF" w14:textId="77777777" w:rsidR="00EC2759" w:rsidRPr="0060547B" w:rsidRDefault="00B208DA">
      <w:pPr>
        <w:numPr>
          <w:ilvl w:val="0"/>
          <w:numId w:val="12"/>
        </w:numPr>
        <w:spacing w:after="41" w:line="269" w:lineRule="auto"/>
        <w:ind w:right="187" w:hanging="283"/>
        <w:rPr>
          <w:strike/>
        </w:rPr>
      </w:pPr>
      <w:r w:rsidRPr="0060547B">
        <w:rPr>
          <w:strike/>
          <w:color w:val="000000"/>
        </w:rPr>
        <w:t xml:space="preserve">Warunek dotyczący zdolności technicznej lub zawodowej określony w Rozdziale IX ust. 2 pkt 4 SWZ zostanie uznany za spełniony, jeżeli wymaganym doświadczeniem wykaże się w całości co najmniej jeden z wykonawców wspólnie ubiegających się o udzielenie zamówienia, który wykona usługi do realizacji których te zdolności są wymagane. </w:t>
      </w:r>
    </w:p>
    <w:p w14:paraId="332133AE" w14:textId="581B7635" w:rsidR="00EC2759" w:rsidRDefault="00B208DA" w:rsidP="00B6421E">
      <w:pPr>
        <w:spacing w:after="20" w:line="259" w:lineRule="auto"/>
        <w:ind w:left="77" w:right="0" w:firstLine="0"/>
        <w:jc w:val="left"/>
      </w:pPr>
      <w:r w:rsidRPr="0060547B">
        <w:rPr>
          <w:b/>
          <w:strike/>
          <w:sz w:val="24"/>
        </w:rPr>
        <w:t xml:space="preserve"> </w:t>
      </w:r>
      <w:r>
        <w:rPr>
          <w:b/>
          <w:sz w:val="24"/>
        </w:rPr>
        <w:t xml:space="preserve"> </w:t>
      </w:r>
    </w:p>
    <w:p w14:paraId="1BC85602" w14:textId="77777777" w:rsidR="00EC2759" w:rsidRDefault="00B208DA">
      <w:pPr>
        <w:spacing w:after="109"/>
        <w:ind w:left="72" w:right="185"/>
      </w:pPr>
      <w:r>
        <w:rPr>
          <w:b/>
          <w:sz w:val="24"/>
        </w:rPr>
        <w:t xml:space="preserve">Rozdział XIV Wymagania dotyczące wadium </w:t>
      </w:r>
    </w:p>
    <w:p w14:paraId="6F983C40" w14:textId="77777777" w:rsidR="00EC2759" w:rsidRDefault="00B208DA">
      <w:pPr>
        <w:spacing w:after="10" w:line="269" w:lineRule="auto"/>
        <w:ind w:left="62" w:right="187" w:firstLine="0"/>
      </w:pPr>
      <w:r>
        <w:rPr>
          <w:color w:val="000000"/>
        </w:rPr>
        <w:t xml:space="preserve">Zamawiający nie wymaga wniesienia wadium.  </w:t>
      </w:r>
    </w:p>
    <w:p w14:paraId="3E4C65ED" w14:textId="77777777" w:rsidR="00EC2759" w:rsidRDefault="00B208DA">
      <w:pPr>
        <w:spacing w:after="38" w:line="259" w:lineRule="auto"/>
        <w:ind w:left="77" w:right="0" w:firstLine="0"/>
        <w:jc w:val="left"/>
      </w:pPr>
      <w:r>
        <w:rPr>
          <w:color w:val="000000"/>
        </w:rPr>
        <w:t xml:space="preserve"> </w:t>
      </w:r>
    </w:p>
    <w:p w14:paraId="13EF068C" w14:textId="77777777" w:rsidR="00EC2759" w:rsidRDefault="00B208DA">
      <w:pPr>
        <w:pStyle w:val="Nagwek3"/>
        <w:ind w:left="72" w:right="185"/>
      </w:pPr>
      <w:r>
        <w:t xml:space="preserve">Rozdział XV </w:t>
      </w:r>
    </w:p>
    <w:p w14:paraId="53DAED58" w14:textId="77777777"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p w14:paraId="796A6CCC"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 xml:space="preserve">Wykonawca zamierzający złożyć ofertę (wyłącznie poprzez Platformę zakupową) - zobowiązany jest zapoznać się z instrukcją obsługi platformy zakupowej dla Wykonawców i regulaminem platformy zakupowej – dostępnymi pod adresem: </w:t>
      </w:r>
      <w:hyperlink r:id="rId9" w:history="1">
        <w:r w:rsidRPr="00B6421E">
          <w:rPr>
            <w:rFonts w:eastAsia="Times New Roman"/>
            <w:color w:val="auto"/>
            <w:kern w:val="1"/>
            <w:u w:val="single"/>
            <w14:ligatures w14:val="none"/>
          </w:rPr>
          <w:t>https://opennexus.pl/</w:t>
        </w:r>
      </w:hyperlink>
      <w:r w:rsidRPr="00B6421E">
        <w:rPr>
          <w:rFonts w:eastAsia="Times New Roman"/>
          <w:color w:val="auto"/>
          <w:kern w:val="1"/>
          <w14:ligatures w14:val="none"/>
        </w:rPr>
        <w:t>.</w:t>
      </w:r>
      <w:r w:rsidRPr="00B6421E">
        <w:rPr>
          <w:rFonts w:eastAsia="Times New Roman"/>
          <w:kern w:val="1"/>
          <w14:ligatures w14:val="none"/>
        </w:rPr>
        <w:t xml:space="preserve"> </w:t>
      </w:r>
    </w:p>
    <w:p w14:paraId="02DCD4FC" w14:textId="77777777" w:rsidR="00B6421E" w:rsidRPr="00B6421E" w:rsidRDefault="00B6421E" w:rsidP="00B6421E">
      <w:pPr>
        <w:suppressAutoHyphens/>
        <w:spacing w:after="0" w:line="240" w:lineRule="auto"/>
        <w:ind w:left="284" w:right="0" w:firstLine="0"/>
        <w:rPr>
          <w:rFonts w:eastAsia="Times New Roman"/>
          <w:kern w:val="1"/>
          <w14:ligatures w14:val="none"/>
        </w:rPr>
      </w:pPr>
    </w:p>
    <w:p w14:paraId="6CE37939"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Złożenie oferty poprzez Platformę zakupową oznacza akceptację regulaminu, o którym mowa w pkt 1 niniejszego rozdziału SWZ.</w:t>
      </w:r>
    </w:p>
    <w:p w14:paraId="6DAE69F5" w14:textId="77777777" w:rsidR="00B6421E" w:rsidRPr="00B6421E" w:rsidRDefault="00B6421E" w:rsidP="00B6421E">
      <w:pPr>
        <w:suppressAutoHyphens/>
        <w:spacing w:after="0" w:line="240" w:lineRule="auto"/>
        <w:ind w:left="708" w:right="0" w:firstLine="0"/>
        <w:jc w:val="left"/>
        <w:rPr>
          <w:rFonts w:eastAsia="Times New Roman"/>
          <w:kern w:val="1"/>
          <w:lang w:val="x-none" w:eastAsia="x-none"/>
          <w14:ligatures w14:val="none"/>
        </w:rPr>
      </w:pPr>
    </w:p>
    <w:p w14:paraId="5723BC49"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 xml:space="preserve">Wymagania techniczne związane z korzystaniem z Platformy zakupowej – wskazane są na stronie internetowej – pod adresem: </w:t>
      </w:r>
      <w:hyperlink r:id="rId10" w:history="1">
        <w:r w:rsidRPr="00B6421E">
          <w:rPr>
            <w:rFonts w:eastAsia="Times New Roman"/>
            <w:color w:val="auto"/>
            <w:kern w:val="1"/>
            <w:u w:val="single"/>
            <w14:ligatures w14:val="none"/>
          </w:rPr>
          <w:t>https://opennexus.pl/</w:t>
        </w:r>
      </w:hyperlink>
      <w:r w:rsidRPr="00B6421E">
        <w:rPr>
          <w:rFonts w:eastAsia="Times New Roman"/>
          <w:color w:val="auto"/>
          <w:kern w:val="1"/>
          <w14:ligatures w14:val="none"/>
        </w:rPr>
        <w:t>.</w:t>
      </w:r>
    </w:p>
    <w:p w14:paraId="10FB2619" w14:textId="77777777" w:rsidR="00B6421E" w:rsidRPr="00B6421E" w:rsidRDefault="00B6421E" w:rsidP="00B6421E">
      <w:pPr>
        <w:suppressAutoHyphens/>
        <w:spacing w:after="0" w:line="240" w:lineRule="auto"/>
        <w:ind w:left="708" w:right="0" w:firstLine="0"/>
        <w:jc w:val="left"/>
        <w:rPr>
          <w:rFonts w:eastAsia="Times New Roman"/>
          <w:kern w:val="1"/>
          <w:lang w:val="x-none" w:eastAsia="x-none"/>
          <w14:ligatures w14:val="none"/>
        </w:rPr>
      </w:pPr>
    </w:p>
    <w:p w14:paraId="0DF13DF0"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 xml:space="preserve">Wsparcia technicznego w zakresie działania Platformy zakupowej udziela jej dostawca, tj. Open </w:t>
      </w:r>
      <w:proofErr w:type="spellStart"/>
      <w:r w:rsidRPr="00B6421E">
        <w:rPr>
          <w:rFonts w:eastAsia="Times New Roman"/>
          <w:kern w:val="1"/>
          <w14:ligatures w14:val="none"/>
        </w:rPr>
        <w:t>Nexus</w:t>
      </w:r>
      <w:proofErr w:type="spellEnd"/>
      <w:r w:rsidRPr="00B6421E">
        <w:rPr>
          <w:rFonts w:eastAsia="Times New Roman"/>
          <w:kern w:val="1"/>
          <w14:ligatures w14:val="none"/>
        </w:rPr>
        <w:t xml:space="preserve"> Sp. z o.o., ul. B. Krzywoustego 3, 61-144 Poznań w trybie mailowym lub telefonicznym na numer infolinii, który podany jest w zakładce kontakt pod adresem: </w:t>
      </w:r>
      <w:hyperlink r:id="rId11" w:history="1">
        <w:r w:rsidRPr="00B6421E">
          <w:rPr>
            <w:rFonts w:eastAsia="Times New Roman"/>
            <w:color w:val="auto"/>
            <w:kern w:val="1"/>
            <w:u w:val="single"/>
            <w14:ligatures w14:val="none"/>
          </w:rPr>
          <w:t>https://opennexus.pl/</w:t>
        </w:r>
      </w:hyperlink>
      <w:r w:rsidRPr="00B6421E">
        <w:rPr>
          <w:rFonts w:eastAsia="Times New Roman"/>
          <w:color w:val="auto"/>
          <w:kern w:val="1"/>
          <w14:ligatures w14:val="none"/>
        </w:rPr>
        <w:t>.</w:t>
      </w:r>
    </w:p>
    <w:p w14:paraId="7AE1E425" w14:textId="77777777" w:rsidR="00B6421E" w:rsidRPr="00B6421E" w:rsidRDefault="00B6421E" w:rsidP="00B6421E">
      <w:pPr>
        <w:suppressAutoHyphens/>
        <w:spacing w:after="0" w:line="240" w:lineRule="auto"/>
        <w:ind w:left="708" w:right="0" w:firstLine="0"/>
        <w:jc w:val="left"/>
        <w:rPr>
          <w:rFonts w:eastAsia="Times New Roman"/>
          <w:kern w:val="1"/>
          <w:lang w:val="x-none" w:eastAsia="x-none"/>
          <w14:ligatures w14:val="none"/>
        </w:rPr>
      </w:pPr>
    </w:p>
    <w:p w14:paraId="46FA55FA"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Sposoby złożenia oferty za pośrednictwem Platformy zakupowej oraz potwierdzenia złożenia oferty zostały opisane w instrukcji obsługi platformy zakupowej dla Wykonawców.</w:t>
      </w:r>
    </w:p>
    <w:p w14:paraId="0CC13F73" w14:textId="77777777" w:rsidR="00B6421E" w:rsidRPr="00B6421E" w:rsidRDefault="00B6421E" w:rsidP="00B6421E">
      <w:pPr>
        <w:suppressAutoHyphens/>
        <w:spacing w:after="0" w:line="240" w:lineRule="auto"/>
        <w:ind w:left="708" w:right="0" w:firstLine="0"/>
        <w:jc w:val="left"/>
        <w:rPr>
          <w:rFonts w:eastAsia="Times New Roman"/>
          <w:kern w:val="1"/>
          <w:lang w:val="x-none" w:eastAsia="x-none"/>
          <w14:ligatures w14:val="none"/>
        </w:rPr>
      </w:pPr>
    </w:p>
    <w:p w14:paraId="6CABDA45"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2023 r. poz. 57 z </w:t>
      </w:r>
      <w:proofErr w:type="spellStart"/>
      <w:r w:rsidRPr="00B6421E">
        <w:rPr>
          <w:rFonts w:eastAsia="Times New Roman"/>
          <w:kern w:val="1"/>
          <w14:ligatures w14:val="none"/>
        </w:rPr>
        <w:t>póżn</w:t>
      </w:r>
      <w:proofErr w:type="spellEnd"/>
      <w:r w:rsidRPr="00B6421E">
        <w:rPr>
          <w:rFonts w:eastAsia="Times New Roman"/>
          <w:kern w:val="1"/>
          <w14:ligatures w14:val="none"/>
        </w:rPr>
        <w:t>. zm.), z zastrzeżeniem formatów, o których mowa w art. 66 ust. 1 ustawy, z uwzględnieniem rodzaju przekazywanych danych.</w:t>
      </w:r>
    </w:p>
    <w:p w14:paraId="17E16B73" w14:textId="77777777" w:rsidR="00B6421E" w:rsidRPr="00B6421E" w:rsidRDefault="00B6421E" w:rsidP="00B6421E">
      <w:pPr>
        <w:suppressAutoHyphens/>
        <w:spacing w:after="0" w:line="240" w:lineRule="auto"/>
        <w:ind w:left="708" w:right="0" w:firstLine="0"/>
        <w:jc w:val="left"/>
        <w:rPr>
          <w:rFonts w:eastAsia="Times New Roman"/>
          <w:kern w:val="1"/>
          <w:lang w:val="x-none" w:eastAsia="x-none"/>
          <w14:ligatures w14:val="none"/>
        </w:rPr>
      </w:pPr>
    </w:p>
    <w:p w14:paraId="3DE3E149"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Informacje, oświadczenia lub dokumenty, inne niż określone w pkt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6A46846F" w14:textId="77777777" w:rsidR="00B6421E" w:rsidRPr="00B6421E" w:rsidRDefault="00B6421E" w:rsidP="00B6421E">
      <w:pPr>
        <w:suppressAutoHyphens/>
        <w:spacing w:after="0" w:line="240" w:lineRule="auto"/>
        <w:ind w:left="708" w:right="0" w:firstLine="0"/>
        <w:jc w:val="left"/>
        <w:rPr>
          <w:rFonts w:eastAsia="Times New Roman"/>
          <w:kern w:val="1"/>
          <w:lang w:val="x-none" w:eastAsia="x-none"/>
          <w14:ligatures w14:val="none"/>
        </w:rPr>
      </w:pPr>
    </w:p>
    <w:p w14:paraId="2E538B24"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 xml:space="preserve">W przypadku, gdy dokumenty elektroniczne w postępowaniu o udzielenie zamówienia, przekazywane przy użyciu środków komunikacji elektronicznej, zawierają informacje stanowiące tajemnice przedsiębiorstwa w rozumieniu przepisów ustawy z dnia 16 kwietnia 1993 r. o zwalczaniu nieuczciwej konkurencji (Dz.U. z 2022 r. poz. 1233 z </w:t>
      </w:r>
      <w:proofErr w:type="spellStart"/>
      <w:r w:rsidRPr="00B6421E">
        <w:rPr>
          <w:rFonts w:eastAsia="Times New Roman"/>
          <w:kern w:val="1"/>
          <w14:ligatures w14:val="none"/>
        </w:rPr>
        <w:t>późn</w:t>
      </w:r>
      <w:proofErr w:type="spellEnd"/>
      <w:r w:rsidRPr="00B6421E">
        <w:rPr>
          <w:rFonts w:eastAsia="Times New Roman"/>
          <w:kern w:val="1"/>
          <w14:ligatures w14:val="none"/>
        </w:rPr>
        <w:t>. zm.), Wykonawca, w celu utrzymania w poufności tych informacji, przekazuje je w wydzielonym i odpowiednio oznaczonym pliku.</w:t>
      </w:r>
    </w:p>
    <w:p w14:paraId="560D9E5F" w14:textId="77777777" w:rsidR="00B6421E" w:rsidRPr="00B6421E" w:rsidRDefault="00B6421E" w:rsidP="00B6421E">
      <w:pPr>
        <w:suppressAutoHyphens/>
        <w:spacing w:after="0" w:line="240" w:lineRule="auto"/>
        <w:ind w:left="708" w:right="0" w:firstLine="0"/>
        <w:jc w:val="left"/>
        <w:rPr>
          <w:rFonts w:eastAsia="Times New Roman"/>
          <w:kern w:val="1"/>
          <w:lang w:val="x-none" w:eastAsia="x-none"/>
          <w14:ligatures w14:val="none"/>
        </w:rPr>
      </w:pPr>
    </w:p>
    <w:p w14:paraId="6381887D"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Podmiotowe środki dowodowe, przedmiotowe środki dowodowe oraz inne dokumenty lub oświadczenia, sporządzone w języku obcym przekazuje się wraz z tłumaczeniem na język polski.</w:t>
      </w:r>
    </w:p>
    <w:p w14:paraId="7B5E056A" w14:textId="77777777" w:rsidR="00B6421E" w:rsidRPr="00B6421E" w:rsidRDefault="00B6421E" w:rsidP="00B6421E">
      <w:pPr>
        <w:suppressAutoHyphens/>
        <w:spacing w:after="0" w:line="240" w:lineRule="auto"/>
        <w:ind w:left="708" w:right="0" w:firstLine="0"/>
        <w:jc w:val="left"/>
        <w:rPr>
          <w:rFonts w:eastAsia="Times New Roman"/>
          <w:kern w:val="1"/>
          <w:lang w:val="x-none" w:eastAsia="x-none"/>
          <w14:ligatures w14:val="none"/>
        </w:rPr>
      </w:pPr>
    </w:p>
    <w:p w14:paraId="6102A3D3" w14:textId="77777777" w:rsidR="00B6421E" w:rsidRPr="00B6421E" w:rsidRDefault="00B6421E" w:rsidP="00B6421E">
      <w:pPr>
        <w:numPr>
          <w:ilvl w:val="3"/>
          <w:numId w:val="29"/>
        </w:numPr>
        <w:suppressAutoHyphens/>
        <w:spacing w:after="0" w:line="240" w:lineRule="auto"/>
        <w:ind w:left="284" w:right="0" w:hanging="284"/>
        <w:jc w:val="left"/>
        <w:rPr>
          <w:rFonts w:eastAsia="Times New Roman"/>
          <w:kern w:val="1"/>
          <w14:ligatures w14:val="none"/>
        </w:rPr>
      </w:pPr>
      <w:r w:rsidRPr="00B6421E">
        <w:rPr>
          <w:rFonts w:eastAsia="Times New Roman"/>
          <w:kern w:val="1"/>
          <w14:ligatures w14:val="none"/>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D53BA48"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10.1.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01E33D2"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10.2. Poświadczenia zgodności cyfrowego odwzorowania z dokumentem w postaci papierowej, o którym mowa w pkt 10.1. niniejszego rozdziału SWZ, dokonuje w przypadku:</w:t>
      </w:r>
    </w:p>
    <w:p w14:paraId="31B6ED0F"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ab/>
        <w:t>1) podmiotowych środków dowodowych oraz dokumentów potwierdzających umocowanie do reprezentowania – odpowiednio Wykonawca, Wykonawcy wspólnie ubiegający się o udzielenie zamówienia, podmiot udostępniający zasoby lub podwykonawca, w zakresie podmiotowych środków dowodowych lub dokumentów potwierdzających umocowanie do reprezentowania, które każdego z nich dotyczą;</w:t>
      </w:r>
    </w:p>
    <w:p w14:paraId="51B13642"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ab/>
        <w:t>2) przedmiotowych środków dowodowych - odpowiednio Wykonawca lub Wykonawcy wspólnie ubiegający się o udzielenie zamówienia;</w:t>
      </w:r>
    </w:p>
    <w:p w14:paraId="167B6BB4"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ab/>
        <w:t>3) innych dokumentów – odpowiednio Wykonawca lub Wykonawcy wspólnie ubiegający się o udzielenie zamówienia, w zakresie dokumentów, które każdego z nich dotyczą.</w:t>
      </w:r>
    </w:p>
    <w:p w14:paraId="17DF972F"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10.3. Poświadczenie zgodności cyfrowego odwzorowania z dokumentem w postaci papierowej, o którym mowa w pkt 10.1. niniejszego rozdziału SWZ, może dokonać również notariusz.</w:t>
      </w:r>
    </w:p>
    <w:p w14:paraId="77B7A1CA"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10.4. Poprzez cyfrowe odwzorowanie, o którym mowa wyżej, należy rozumieć dokument elektroniczny będący kopią elektroniczną treści zapisanej w postaci papierowej, umożliwiający zapoznanie się z treścią i jej zrozumienie, bez konieczności bezpośredniego dostępu do oryginału.</w:t>
      </w:r>
    </w:p>
    <w:p w14:paraId="5AC6B9AB"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r w:rsidRPr="00B6421E">
        <w:rPr>
          <w:rFonts w:eastAsia="Times New Roman"/>
          <w:kern w:val="1"/>
          <w:lang w:eastAsia="x-none"/>
          <w14:ligatures w14:val="none"/>
        </w:rPr>
        <w:t>11.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4CDB58F"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lastRenderedPageBreak/>
        <w:t>11.1. W przypadku, gdy podmiotowe środki dowodowe, w tym oświadczenie, o którym mowa w art.117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2BAD9A9"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11.2. Poświadczenie zgodności cyfrowego odwzorowania z dokumentem w postaci papierowej, o którym mowa w pkt 11.1. niniejszego rozdziału SWZ, dokonuje w przypadku:</w:t>
      </w:r>
    </w:p>
    <w:p w14:paraId="453CF067"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ab/>
        <w:t>1) podmiotowych środków dowodowych – odpowiednio Wykonawca, Wykonawcy wspólnie ubiegający się o udzielenie zamówienia, podmiot udostępniający zasoby lub podwykonawca w zakresie podmiotowych środków dowodowych, które każdego z nich dotyczą;</w:t>
      </w:r>
    </w:p>
    <w:p w14:paraId="4DDF683F"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ab/>
        <w:t>2) przedmiotowego środka dowodowego, oświadczenia, o którym mowa w art. 117 ust. 4 ustawy lub zobowiązania podmiotu udostępniającego zasoby – odpowiednio Wykonawca lub Wykonawcy wspólnie ubiegający się o udzielenie zamówienia;</w:t>
      </w:r>
    </w:p>
    <w:p w14:paraId="0EAF2802"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ab/>
        <w:t>3) pełnomocnictwo- mocodawca.</w:t>
      </w:r>
    </w:p>
    <w:p w14:paraId="709E9683"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r w:rsidRPr="00B6421E">
        <w:rPr>
          <w:rFonts w:eastAsia="Times New Roman"/>
          <w:kern w:val="1"/>
          <w:lang w:eastAsia="x-none"/>
          <w14:ligatures w14:val="none"/>
        </w:rPr>
        <w:t>11.3. Poświadczenia zgodności cyfrowego odwzorowania z dokumentem w postaci papierowej, o którym mowa w pkt 11.1. niniejszego rozdziału SWZ, może dokonać również notariusz.</w:t>
      </w:r>
    </w:p>
    <w:p w14:paraId="0F010BDD" w14:textId="77777777" w:rsidR="00B6421E" w:rsidRPr="00B6421E" w:rsidRDefault="00B6421E" w:rsidP="00B6421E">
      <w:pPr>
        <w:suppressAutoHyphens/>
        <w:spacing w:after="0" w:line="240" w:lineRule="auto"/>
        <w:ind w:left="709" w:right="0" w:hanging="425"/>
        <w:rPr>
          <w:rFonts w:eastAsia="Times New Roman"/>
          <w:kern w:val="1"/>
          <w:lang w:eastAsia="x-none"/>
          <w14:ligatures w14:val="none"/>
        </w:rPr>
      </w:pPr>
    </w:p>
    <w:p w14:paraId="3630E2E5"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r w:rsidRPr="00B6421E">
        <w:rPr>
          <w:rFonts w:eastAsia="Times New Roman"/>
          <w:kern w:val="1"/>
          <w:lang w:eastAsia="x-none"/>
          <w14:ligatures w14:val="none"/>
        </w:rPr>
        <w:t>12.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C7D3B38"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p>
    <w:p w14:paraId="3B558685"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r w:rsidRPr="00B6421E">
        <w:rPr>
          <w:rFonts w:eastAsia="Times New Roman"/>
          <w:kern w:val="1"/>
          <w:lang w:eastAsia="x-none"/>
          <w14:ligatures w14:val="none"/>
        </w:rPr>
        <w:t>13. Dokumenty elektroniczne w postępowaniu spełniają łącznie następujące wymagania:</w:t>
      </w:r>
    </w:p>
    <w:p w14:paraId="5B16787A"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r w:rsidRPr="00B6421E">
        <w:rPr>
          <w:rFonts w:eastAsia="Times New Roman"/>
          <w:kern w:val="1"/>
          <w:lang w:eastAsia="x-none"/>
          <w14:ligatures w14:val="none"/>
        </w:rPr>
        <w:tab/>
        <w:t>1) są utrwalone w sposób umożliwiający ich wielokrotne odczytanie, zapisanie i powielanie, a także przekazanie przy użyciu środków komunikacji elektronicznej lub na informatycznym nośniku danych;</w:t>
      </w:r>
    </w:p>
    <w:p w14:paraId="0818CA33"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r w:rsidRPr="00B6421E">
        <w:rPr>
          <w:rFonts w:eastAsia="Times New Roman"/>
          <w:kern w:val="1"/>
          <w:lang w:eastAsia="x-none"/>
          <w14:ligatures w14:val="none"/>
        </w:rPr>
        <w:tab/>
        <w:t>2) umożliwiają prezentację treści w postaci elektronicznej, w szczególności przez wyświetlenie tej treści na monitorze ekranowym;</w:t>
      </w:r>
    </w:p>
    <w:p w14:paraId="3A11ACE4"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r w:rsidRPr="00B6421E">
        <w:rPr>
          <w:rFonts w:eastAsia="Times New Roman"/>
          <w:kern w:val="1"/>
          <w:lang w:eastAsia="x-none"/>
          <w14:ligatures w14:val="none"/>
        </w:rPr>
        <w:tab/>
        <w:t>3) umożliwiają prezentację treści w postaci papierowej, w szczególności za pomocą wydruku;</w:t>
      </w:r>
    </w:p>
    <w:p w14:paraId="532280AB"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r w:rsidRPr="00B6421E">
        <w:rPr>
          <w:rFonts w:eastAsia="Times New Roman"/>
          <w:kern w:val="1"/>
          <w:lang w:eastAsia="x-none"/>
          <w14:ligatures w14:val="none"/>
        </w:rPr>
        <w:tab/>
        <w:t>4) zawierają dane w układzie niepozostawiającym wątpliwości co do treści i kontekstu zapisanych informacji.</w:t>
      </w:r>
    </w:p>
    <w:p w14:paraId="6DAEF1CA"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p>
    <w:p w14:paraId="6B7ED222" w14:textId="77777777" w:rsidR="00B6421E" w:rsidRPr="00B6421E" w:rsidRDefault="00B6421E" w:rsidP="00B6421E">
      <w:pPr>
        <w:spacing w:after="0" w:line="240" w:lineRule="auto"/>
        <w:ind w:left="284" w:right="0" w:hanging="284"/>
        <w:rPr>
          <w:rFonts w:eastAsia="Times New Roman"/>
          <w:kern w:val="1"/>
          <w:lang w:val="x-none" w:eastAsia="x-none"/>
          <w14:ligatures w14:val="none"/>
        </w:rPr>
      </w:pPr>
      <w:r w:rsidRPr="00B6421E">
        <w:rPr>
          <w:rFonts w:eastAsia="Times New Roman"/>
          <w:kern w:val="1"/>
          <w:lang w:eastAsia="x-none"/>
          <w14:ligatures w14:val="none"/>
        </w:rPr>
        <w:t xml:space="preserve">14. </w:t>
      </w:r>
      <w:r w:rsidRPr="00B6421E">
        <w:rPr>
          <w:rFonts w:eastAsia="Times New Roman"/>
          <w:kern w:val="1"/>
          <w:lang w:val="x-none" w:eastAsia="x-none"/>
          <w14:ligatures w14:val="none"/>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B6421E">
        <w:rPr>
          <w:rFonts w:eastAsia="Times New Roman"/>
          <w:kern w:val="1"/>
          <w:lang w:val="x-none" w:eastAsia="x-none"/>
          <w14:ligatures w14:val="none"/>
        </w:rPr>
        <w:t>t.j</w:t>
      </w:r>
      <w:proofErr w:type="spellEnd"/>
      <w:r w:rsidRPr="00B6421E">
        <w:rPr>
          <w:rFonts w:eastAsia="Times New Roman"/>
          <w:kern w:val="1"/>
          <w:lang w:val="x-none" w:eastAsia="x-none"/>
          <w14:ligatures w14:val="none"/>
        </w:rPr>
        <w:t>. Dz. U. z 2017 r., poz. 2247) w sprawie Krajowych Ram Interoperacyjności, minimalnych wymagań dla rejestrów publicznych i wymiany informacji w postaci elektronicznej oraz minimalnych wymagań dla systemów teleinformatycznych z zastrzeżeniem, iż Zamawiający dopuszcza także możliwość przesyłania dokumentów elektronicznych (w tym oferty) skompresowanych formatem .</w:t>
      </w:r>
      <w:proofErr w:type="spellStart"/>
      <w:r w:rsidRPr="00B6421E">
        <w:rPr>
          <w:rFonts w:eastAsia="Times New Roman"/>
          <w:kern w:val="1"/>
          <w:lang w:val="x-none" w:eastAsia="x-none"/>
          <w14:ligatures w14:val="none"/>
        </w:rPr>
        <w:t>rar</w:t>
      </w:r>
      <w:proofErr w:type="spellEnd"/>
    </w:p>
    <w:p w14:paraId="7B505703" w14:textId="77777777" w:rsidR="00B6421E" w:rsidRPr="00B6421E" w:rsidRDefault="00B6421E" w:rsidP="00B6421E">
      <w:pPr>
        <w:suppressAutoHyphens/>
        <w:spacing w:after="0" w:line="240" w:lineRule="auto"/>
        <w:ind w:left="360" w:right="0" w:firstLine="0"/>
        <w:rPr>
          <w:rFonts w:eastAsia="Times New Roman"/>
          <w:b/>
          <w:kern w:val="1"/>
          <w14:ligatures w14:val="none"/>
        </w:rPr>
      </w:pPr>
    </w:p>
    <w:p w14:paraId="5427073F" w14:textId="77777777" w:rsidR="00B6421E" w:rsidRPr="00B6421E" w:rsidRDefault="00B6421E" w:rsidP="00B6421E">
      <w:pPr>
        <w:suppressAutoHyphens/>
        <w:spacing w:after="0" w:line="240" w:lineRule="auto"/>
        <w:ind w:left="426" w:right="0" w:firstLine="0"/>
        <w:rPr>
          <w:rFonts w:eastAsia="Times New Roman"/>
          <w:b/>
          <w:kern w:val="1"/>
          <w:u w:val="single"/>
          <w14:ligatures w14:val="none"/>
        </w:rPr>
      </w:pPr>
      <w:r w:rsidRPr="00B6421E">
        <w:rPr>
          <w:rFonts w:eastAsia="Times New Roman"/>
          <w:b/>
          <w:kern w:val="1"/>
          <w:u w:val="single"/>
          <w14:ligatures w14:val="none"/>
        </w:rPr>
        <w:t>Uwaga:</w:t>
      </w:r>
    </w:p>
    <w:p w14:paraId="784DF125" w14:textId="77777777" w:rsidR="00B6421E" w:rsidRPr="00B6421E" w:rsidRDefault="00B6421E" w:rsidP="00B6421E">
      <w:pPr>
        <w:suppressAutoHyphens/>
        <w:spacing w:after="0" w:line="240" w:lineRule="auto"/>
        <w:ind w:left="426" w:right="0" w:firstLine="0"/>
        <w:rPr>
          <w:rFonts w:eastAsia="Times New Roman"/>
          <w:b/>
          <w:kern w:val="1"/>
          <w14:ligatures w14:val="none"/>
        </w:rPr>
      </w:pPr>
      <w:r w:rsidRPr="00B6421E">
        <w:rPr>
          <w:rFonts w:eastAsia="Times New Roman"/>
          <w:b/>
          <w:kern w:val="1"/>
          <w14:ligatures w14:val="none"/>
        </w:rPr>
        <w:t>Przesłanie pliku w formacie  .</w:t>
      </w:r>
      <w:proofErr w:type="spellStart"/>
      <w:r w:rsidRPr="00B6421E">
        <w:rPr>
          <w:rFonts w:eastAsia="Times New Roman"/>
          <w:b/>
          <w:kern w:val="1"/>
          <w14:ligatures w14:val="none"/>
        </w:rPr>
        <w:t>rar</w:t>
      </w:r>
      <w:proofErr w:type="spellEnd"/>
      <w:r w:rsidRPr="00B6421E">
        <w:rPr>
          <w:rFonts w:eastAsia="Times New Roman"/>
          <w:b/>
          <w:kern w:val="1"/>
          <w14:ligatures w14:val="none"/>
        </w:rPr>
        <w:t xml:space="preserve"> poprzez Platformę przetargowa jest możliwe tylko po uprzednim jego skompresowaniu do innego formatu wskazanego w Rozporządzeniu, o którym mowa w pkt 14 (np.zip).</w:t>
      </w:r>
    </w:p>
    <w:p w14:paraId="612922E8"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p>
    <w:p w14:paraId="022D11E6"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r w:rsidRPr="00B6421E">
        <w:rPr>
          <w:rFonts w:eastAsia="Times New Roman"/>
          <w:kern w:val="1"/>
          <w:lang w:eastAsia="x-none"/>
          <w14:ligatures w14:val="none"/>
        </w:rPr>
        <w:t xml:space="preserve">15. Zgodnie z § 12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w konkursie (Dz.U. z 2020 r. poz. 2452 z </w:t>
      </w:r>
      <w:proofErr w:type="spellStart"/>
      <w:r w:rsidRPr="00B6421E">
        <w:rPr>
          <w:rFonts w:eastAsia="Times New Roman"/>
          <w:kern w:val="1"/>
          <w:lang w:eastAsia="x-none"/>
          <w14:ligatures w14:val="none"/>
        </w:rPr>
        <w:t>późn</w:t>
      </w:r>
      <w:proofErr w:type="spellEnd"/>
      <w:r w:rsidRPr="00B6421E">
        <w:rPr>
          <w:rFonts w:eastAsia="Times New Roman"/>
          <w:kern w:val="1"/>
          <w:lang w:eastAsia="x-none"/>
          <w14:ligatures w14:val="none"/>
        </w:rPr>
        <w:t>. zm.):</w:t>
      </w:r>
    </w:p>
    <w:p w14:paraId="16146273" w14:textId="77777777" w:rsidR="00B6421E" w:rsidRPr="00B6421E" w:rsidRDefault="00B6421E" w:rsidP="00B6421E">
      <w:pPr>
        <w:suppressAutoHyphens/>
        <w:spacing w:after="0" w:line="240" w:lineRule="auto"/>
        <w:ind w:left="284" w:right="0" w:hanging="284"/>
        <w:rPr>
          <w:rFonts w:eastAsia="Times New Roman"/>
          <w:kern w:val="1"/>
          <w:lang w:eastAsia="x-none"/>
          <w14:ligatures w14:val="none"/>
        </w:rPr>
      </w:pPr>
      <w:r w:rsidRPr="00B6421E">
        <w:rPr>
          <w:rFonts w:eastAsia="Times New Roman"/>
          <w:kern w:val="1"/>
          <w:lang w:eastAsia="x-none"/>
          <w14:ligatures w14:val="none"/>
        </w:rPr>
        <w:tab/>
        <w:t xml:space="preserve">„Środki komunikacji elektronicznej w postępowaniu lub konkursie służące do odbioru dokumentów elektronicznych zawierających oświadczenia, o których mowa w art. 125 ust. 1 ustawy, podmiotowe środki </w:t>
      </w:r>
      <w:r w:rsidRPr="00B6421E">
        <w:rPr>
          <w:rFonts w:eastAsia="Times New Roman"/>
          <w:kern w:val="1"/>
          <w:lang w:eastAsia="x-none"/>
          <w14:ligatures w14:val="none"/>
        </w:rPr>
        <w:lastRenderedPageBreak/>
        <w:t xml:space="preserve">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 </w:t>
      </w:r>
    </w:p>
    <w:p w14:paraId="05AEDCBC" w14:textId="34D5C01E" w:rsidR="00EC2759" w:rsidRDefault="00EC2759">
      <w:pPr>
        <w:spacing w:after="20" w:line="259" w:lineRule="auto"/>
        <w:ind w:left="77" w:right="0" w:firstLine="0"/>
        <w:jc w:val="left"/>
      </w:pPr>
    </w:p>
    <w:p w14:paraId="2056C747" w14:textId="77777777" w:rsidR="00EC2759" w:rsidRDefault="00B208DA">
      <w:pPr>
        <w:pStyle w:val="Nagwek3"/>
        <w:spacing w:after="139"/>
        <w:ind w:left="72" w:right="185"/>
      </w:pPr>
      <w:r>
        <w:t xml:space="preserve">Rozdział XVI Opis sposobu przygotowania ofert oraz wymagania formalne dotyczące składanych oświadczeń i dokumentów </w:t>
      </w:r>
    </w:p>
    <w:p w14:paraId="3C27C45D" w14:textId="77777777" w:rsidR="00EC2759" w:rsidRDefault="00B208DA">
      <w:pPr>
        <w:numPr>
          <w:ilvl w:val="0"/>
          <w:numId w:val="14"/>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77777777" w:rsidR="00EC2759" w:rsidRDefault="00B208DA">
      <w:pPr>
        <w:numPr>
          <w:ilvl w:val="0"/>
          <w:numId w:val="14"/>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pPr>
        <w:numPr>
          <w:ilvl w:val="1"/>
          <w:numId w:val="14"/>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pPr>
        <w:numPr>
          <w:ilvl w:val="1"/>
          <w:numId w:val="14"/>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pPr>
        <w:numPr>
          <w:ilvl w:val="1"/>
          <w:numId w:val="14"/>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pPr>
        <w:numPr>
          <w:ilvl w:val="1"/>
          <w:numId w:val="14"/>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pPr>
        <w:numPr>
          <w:ilvl w:val="1"/>
          <w:numId w:val="14"/>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w:t>
      </w:r>
      <w:proofErr w:type="spellStart"/>
      <w:r>
        <w:rPr>
          <w:color w:val="000000"/>
        </w:rPr>
        <w:t>Pzp</w:t>
      </w:r>
      <w:proofErr w:type="spellEnd"/>
      <w:r>
        <w:rPr>
          <w:color w:val="000000"/>
        </w:rPr>
        <w:t xml:space="preserve"> – jeśli umocowanie nie wynika z dokumentów rejestrowych (jeśli dotyczy); </w:t>
      </w:r>
    </w:p>
    <w:p w14:paraId="45FB77D5" w14:textId="77777777" w:rsidR="00EC2759" w:rsidRDefault="00B208DA">
      <w:pPr>
        <w:numPr>
          <w:ilvl w:val="1"/>
          <w:numId w:val="14"/>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zgodnie z załącznikiem nr 5 do SWZ</w:t>
      </w:r>
      <w:r>
        <w:rPr>
          <w:color w:val="000000"/>
        </w:rPr>
        <w:t xml:space="preserve"> (jeśli dotyczy). </w:t>
      </w:r>
    </w:p>
    <w:p w14:paraId="5B30F4AD" w14:textId="77777777" w:rsidR="00EC2759" w:rsidRDefault="00B208DA">
      <w:pPr>
        <w:numPr>
          <w:ilvl w:val="0"/>
          <w:numId w:val="14"/>
        </w:numPr>
        <w:ind w:left="366" w:right="187" w:hanging="283"/>
      </w:pPr>
      <w:r>
        <w:t xml:space="preserve">Ofertę oraz przedmiotowe środki dowodowe (jeżeli były wymagane) składa się pod rygorem nieważności przy użyciu środków komunikacji elektronicznej tzn. za pośrednictwem </w:t>
      </w:r>
      <w:hyperlink r:id="rId12">
        <w:r>
          <w:rPr>
            <w:color w:val="1155CC"/>
            <w:u w:val="single" w:color="1155CC"/>
          </w:rPr>
          <w:t>platformazakupowa.</w:t>
        </w:r>
      </w:hyperlink>
      <w:hyperlink r:id="rId13">
        <w:r>
          <w:rPr>
            <w:color w:val="1155CC"/>
          </w:rPr>
          <w:t>pl</w:t>
        </w:r>
      </w:hyperlink>
      <w:hyperlink r:id="rId14">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pPr>
        <w:numPr>
          <w:ilvl w:val="0"/>
          <w:numId w:val="14"/>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pPr>
        <w:numPr>
          <w:ilvl w:val="0"/>
          <w:numId w:val="14"/>
        </w:numPr>
        <w:spacing w:after="41" w:line="269" w:lineRule="auto"/>
        <w:ind w:left="366" w:right="187" w:hanging="283"/>
      </w:pPr>
      <w:r>
        <w:rPr>
          <w:color w:val="000000"/>
        </w:rPr>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pPr>
        <w:numPr>
          <w:ilvl w:val="0"/>
          <w:numId w:val="14"/>
        </w:numPr>
        <w:ind w:left="366" w:right="187" w:hanging="283"/>
      </w:pPr>
      <w:r>
        <w:lastRenderedPageBreak/>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pPr>
        <w:numPr>
          <w:ilvl w:val="0"/>
          <w:numId w:val="14"/>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pPr>
        <w:numPr>
          <w:ilvl w:val="0"/>
          <w:numId w:val="14"/>
        </w:numPr>
        <w:ind w:left="366" w:right="187" w:hanging="283"/>
      </w:pPr>
      <w:r>
        <w:t xml:space="preserve">Każdy dokument składający się na ofertę powinien być czytelny. </w:t>
      </w:r>
    </w:p>
    <w:p w14:paraId="3D6B7FBF" w14:textId="77777777" w:rsidR="00EC2759" w:rsidRDefault="00B208DA">
      <w:pPr>
        <w:numPr>
          <w:ilvl w:val="0"/>
          <w:numId w:val="14"/>
        </w:numPr>
        <w:ind w:left="366" w:right="187" w:hanging="283"/>
      </w:pPr>
      <w:r>
        <w:t xml:space="preserve">Zgodnie z art. 18 ust. 3 ustawy </w:t>
      </w:r>
      <w:proofErr w:type="spellStart"/>
      <w:r>
        <w:t>Pzp</w:t>
      </w:r>
      <w:proofErr w:type="spellEnd"/>
      <w:r>
        <w:t xml:space="preserve">,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pPr>
        <w:numPr>
          <w:ilvl w:val="0"/>
          <w:numId w:val="14"/>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pPr>
        <w:numPr>
          <w:ilvl w:val="0"/>
          <w:numId w:val="14"/>
        </w:numPr>
        <w:ind w:left="366" w:right="187" w:hanging="283"/>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084C3B7" w14:textId="77777777" w:rsidR="00EC2759" w:rsidRDefault="00B208DA">
      <w:pPr>
        <w:numPr>
          <w:ilvl w:val="0"/>
          <w:numId w:val="14"/>
        </w:numPr>
        <w:ind w:left="366" w:right="187" w:hanging="283"/>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60552B68" w14:textId="77777777" w:rsidR="00EC2759" w:rsidRDefault="00B208DA">
      <w:pPr>
        <w:numPr>
          <w:ilvl w:val="0"/>
          <w:numId w:val="14"/>
        </w:numPr>
        <w:ind w:left="366" w:right="187" w:hanging="283"/>
      </w:pPr>
      <w:r>
        <w:t xml:space="preserve">Wykonawca, za pośrednictwem </w:t>
      </w:r>
      <w:hyperlink r:id="rId15">
        <w:r>
          <w:rPr>
            <w:color w:val="1155CC"/>
            <w:u w:val="single" w:color="1155CC"/>
          </w:rPr>
          <w:t>platformazakupowa.pl</w:t>
        </w:r>
      </w:hyperlink>
      <w:hyperlink r:id="rId16">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17">
        <w:r>
          <w:rPr>
            <w:color w:val="1155CC"/>
            <w:u w:val="single" w:color="1155CC"/>
          </w:rPr>
          <w:t>https://platformazakupowa.pl/strona/45</w:t>
        </w:r>
      </w:hyperlink>
      <w:hyperlink r:id="rId18">
        <w:r>
          <w:rPr>
            <w:color w:val="1155CC"/>
            <w:u w:val="single" w:color="1155CC"/>
          </w:rPr>
          <w:t>-</w:t>
        </w:r>
      </w:hyperlink>
      <w:hyperlink r:id="rId19">
        <w:r>
          <w:rPr>
            <w:color w:val="1155CC"/>
            <w:u w:val="single" w:color="1155CC"/>
          </w:rPr>
          <w:t>instrukcje</w:t>
        </w:r>
      </w:hyperlink>
      <w:hyperlink r:id="rId20">
        <w:r>
          <w:t>.</w:t>
        </w:r>
      </w:hyperlink>
      <w:r>
        <w:t xml:space="preserve">  </w:t>
      </w:r>
    </w:p>
    <w:p w14:paraId="3E6F0C26" w14:textId="77777777" w:rsidR="00EC2759" w:rsidRDefault="00B208DA">
      <w:pPr>
        <w:numPr>
          <w:ilvl w:val="0"/>
          <w:numId w:val="14"/>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pPr>
        <w:numPr>
          <w:ilvl w:val="0"/>
          <w:numId w:val="14"/>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pPr>
        <w:numPr>
          <w:ilvl w:val="0"/>
          <w:numId w:val="14"/>
        </w:numPr>
        <w:ind w:left="366" w:right="187" w:hanging="283"/>
      </w:pPr>
      <w:r>
        <w:lastRenderedPageBreak/>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pPr>
        <w:numPr>
          <w:ilvl w:val="0"/>
          <w:numId w:val="14"/>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pPr>
        <w:numPr>
          <w:ilvl w:val="1"/>
          <w:numId w:val="14"/>
        </w:numPr>
        <w:ind w:right="187" w:hanging="427"/>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14:paraId="580D06DB" w14:textId="77777777" w:rsidR="00EC2759" w:rsidRDefault="00B208DA">
      <w:pPr>
        <w:numPr>
          <w:ilvl w:val="1"/>
          <w:numId w:val="14"/>
        </w:numPr>
        <w:ind w:right="187" w:hanging="427"/>
      </w:pPr>
      <w:r>
        <w:t xml:space="preserve">W celu ewentualnej kompresji danych Zamawiający rekomenduje wykorzystanie jednego z formatów: </w:t>
      </w:r>
    </w:p>
    <w:p w14:paraId="06CCE8FD" w14:textId="77777777" w:rsidR="00EC2759" w:rsidRDefault="00B208DA">
      <w:pPr>
        <w:numPr>
          <w:ilvl w:val="2"/>
          <w:numId w:val="14"/>
        </w:numPr>
        <w:ind w:right="187" w:hanging="360"/>
      </w:pPr>
      <w:r>
        <w:t xml:space="preserve">.zip </w:t>
      </w:r>
    </w:p>
    <w:p w14:paraId="7E12D4D3" w14:textId="77777777" w:rsidR="00EC2759" w:rsidRDefault="00B208DA">
      <w:pPr>
        <w:numPr>
          <w:ilvl w:val="2"/>
          <w:numId w:val="14"/>
        </w:numPr>
        <w:ind w:right="187" w:hanging="360"/>
      </w:pPr>
      <w:r>
        <w:t xml:space="preserve">.7Z </w:t>
      </w:r>
    </w:p>
    <w:p w14:paraId="337B9538" w14:textId="77777777" w:rsidR="00EC2759" w:rsidRDefault="00B208DA">
      <w:pPr>
        <w:numPr>
          <w:ilvl w:val="1"/>
          <w:numId w:val="14"/>
        </w:numPr>
        <w:ind w:right="187" w:hanging="427"/>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271854D8" w14:textId="77777777" w:rsidR="00EC2759" w:rsidRDefault="00B208DA">
      <w:pPr>
        <w:numPr>
          <w:ilvl w:val="1"/>
          <w:numId w:val="14"/>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6B7BB197" w14:textId="77777777" w:rsidR="00EC2759" w:rsidRDefault="00B208DA">
      <w:pPr>
        <w:numPr>
          <w:ilvl w:val="1"/>
          <w:numId w:val="14"/>
        </w:numPr>
        <w:ind w:right="187" w:hanging="427"/>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0358E6DE" w14:textId="77777777" w:rsidR="00EC2759" w:rsidRDefault="00B208DA">
      <w:pPr>
        <w:numPr>
          <w:ilvl w:val="1"/>
          <w:numId w:val="14"/>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pPr>
        <w:numPr>
          <w:ilvl w:val="1"/>
          <w:numId w:val="14"/>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pPr>
        <w:numPr>
          <w:ilvl w:val="1"/>
          <w:numId w:val="14"/>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pPr>
        <w:numPr>
          <w:ilvl w:val="1"/>
          <w:numId w:val="14"/>
        </w:numPr>
        <w:ind w:right="187" w:hanging="427"/>
      </w:pPr>
      <w:r>
        <w:t xml:space="preserve">Osobą składającą ofertę powinna być osoba kontaktowa podawana w dokumentacji. </w:t>
      </w:r>
    </w:p>
    <w:p w14:paraId="5C123EB9" w14:textId="77777777" w:rsidR="00EC2759" w:rsidRDefault="00B208DA">
      <w:pPr>
        <w:numPr>
          <w:ilvl w:val="1"/>
          <w:numId w:val="14"/>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pPr>
        <w:numPr>
          <w:ilvl w:val="1"/>
          <w:numId w:val="14"/>
        </w:numPr>
        <w:ind w:right="187" w:hanging="427"/>
      </w:pPr>
      <w:r>
        <w:t xml:space="preserve">Podczas podpisywania plików zaleca się stosowanie algorytmu skrótu SHA2 zamiast SHA1. </w:t>
      </w:r>
    </w:p>
    <w:p w14:paraId="0357ABCB" w14:textId="77777777" w:rsidR="00EC2759" w:rsidRDefault="00B208DA">
      <w:pPr>
        <w:numPr>
          <w:ilvl w:val="1"/>
          <w:numId w:val="14"/>
        </w:numPr>
        <w:ind w:right="187" w:hanging="427"/>
      </w:pPr>
      <w:r>
        <w:t xml:space="preserve">Jeśli wykonawca pakuje dokumenty np. w plik ZIP zalecamy wcześniejsze podpisanie każdego ze skompresowanych plików. </w:t>
      </w:r>
    </w:p>
    <w:p w14:paraId="55663D2C" w14:textId="77777777" w:rsidR="00EC2759" w:rsidRDefault="00B208DA">
      <w:pPr>
        <w:numPr>
          <w:ilvl w:val="1"/>
          <w:numId w:val="14"/>
        </w:numPr>
        <w:ind w:right="187" w:hanging="427"/>
      </w:pPr>
      <w:r>
        <w:t xml:space="preserve">Zamawiający rekomenduje wykorzystanie podpisu z kwalifikowanym znacznikiem czasu. </w:t>
      </w:r>
    </w:p>
    <w:p w14:paraId="4E45A430" w14:textId="77777777" w:rsidR="00EC2759" w:rsidRDefault="00B208DA">
      <w:pPr>
        <w:numPr>
          <w:ilvl w:val="1"/>
          <w:numId w:val="14"/>
        </w:numPr>
        <w:spacing w:after="7"/>
        <w:ind w:right="187" w:hanging="427"/>
      </w:pPr>
      <w:r>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7777777" w:rsidR="00EC2759" w:rsidRDefault="00B208DA">
      <w:pPr>
        <w:pStyle w:val="Nagwek3"/>
        <w:spacing w:after="145"/>
        <w:ind w:left="72" w:right="185"/>
      </w:pPr>
      <w:r>
        <w:lastRenderedPageBreak/>
        <w:t xml:space="preserve">Rozdział XVII Sposób obliczenia ceny oferty </w:t>
      </w:r>
    </w:p>
    <w:p w14:paraId="646E7C3C" w14:textId="77777777" w:rsidR="00271A77" w:rsidRPr="00FF737A" w:rsidRDefault="00271A77" w:rsidP="00271A77">
      <w:pPr>
        <w:pStyle w:val="Akapitzlist"/>
        <w:numPr>
          <w:ilvl w:val="0"/>
          <w:numId w:val="15"/>
        </w:numPr>
        <w:rPr>
          <w:rFonts w:ascii="Calibri" w:hAnsi="Calibri" w:cs="Calibri"/>
          <w:sz w:val="22"/>
        </w:rPr>
      </w:pPr>
      <w:r w:rsidRPr="00FF737A">
        <w:rPr>
          <w:rFonts w:ascii="Calibri" w:hAnsi="Calibri" w:cs="Calibri"/>
          <w:sz w:val="22"/>
        </w:rPr>
        <w:t xml:space="preserve">Cena obsługi bankowej obejmuje wszystkie koszty związane z realizacją przedmiotu zamówienia, świadczone w ramach obsługi bankowej budżetu. </w:t>
      </w:r>
    </w:p>
    <w:p w14:paraId="15FA7B9B" w14:textId="77777777" w:rsidR="00271A77" w:rsidRPr="00FF737A" w:rsidRDefault="00271A77" w:rsidP="00271A77">
      <w:pPr>
        <w:pStyle w:val="Akapitzlist"/>
        <w:numPr>
          <w:ilvl w:val="0"/>
          <w:numId w:val="15"/>
        </w:numPr>
        <w:rPr>
          <w:rFonts w:ascii="Calibri" w:hAnsi="Calibri" w:cs="Calibri"/>
          <w:sz w:val="22"/>
        </w:rPr>
      </w:pPr>
      <w:r w:rsidRPr="00FF737A">
        <w:rPr>
          <w:rFonts w:ascii="Calibri" w:hAnsi="Calibri" w:cs="Calibri"/>
          <w:sz w:val="22"/>
        </w:rPr>
        <w:t xml:space="preserve">Cena powinna uwzględniać wszystkie koszty związane z wykonaniem przedmiotu zamówienia w okresie realizacji zamówienia, a także uwzględniać wszelkie rabaty upusty itp. </w:t>
      </w:r>
    </w:p>
    <w:p w14:paraId="59B7F5C6" w14:textId="77777777" w:rsidR="00271A77" w:rsidRPr="00FF737A" w:rsidRDefault="00271A77" w:rsidP="00271A77">
      <w:pPr>
        <w:pStyle w:val="Akapitzlist"/>
        <w:numPr>
          <w:ilvl w:val="0"/>
          <w:numId w:val="15"/>
        </w:numPr>
        <w:rPr>
          <w:rFonts w:ascii="Calibri" w:hAnsi="Calibri" w:cs="Calibri"/>
          <w:sz w:val="22"/>
        </w:rPr>
      </w:pPr>
      <w:r w:rsidRPr="00FF737A">
        <w:rPr>
          <w:rFonts w:ascii="Calibri" w:hAnsi="Calibri" w:cs="Calibri"/>
          <w:sz w:val="22"/>
        </w:rPr>
        <w:t xml:space="preserve">Cena musi być wyrażona w złotych polskich niezależnie od wchodzących w niej skład elementów. </w:t>
      </w:r>
    </w:p>
    <w:p w14:paraId="3AB9B6C0" w14:textId="77777777" w:rsidR="00271A77" w:rsidRPr="00FF737A" w:rsidRDefault="00271A77" w:rsidP="00271A77">
      <w:pPr>
        <w:pStyle w:val="Akapitzlist"/>
        <w:numPr>
          <w:ilvl w:val="0"/>
          <w:numId w:val="15"/>
        </w:numPr>
        <w:rPr>
          <w:rFonts w:ascii="Calibri" w:hAnsi="Calibri" w:cs="Calibri"/>
          <w:sz w:val="22"/>
        </w:rPr>
      </w:pPr>
      <w:r w:rsidRPr="00FF737A">
        <w:rPr>
          <w:rFonts w:ascii="Calibri" w:hAnsi="Calibri" w:cs="Calibri"/>
          <w:sz w:val="22"/>
        </w:rPr>
        <w:t>Cena ofertowa powinna być określona z dokładnością do 2 miejsc po przecinku.</w:t>
      </w:r>
    </w:p>
    <w:p w14:paraId="2EA7B19A" w14:textId="262F6AA0" w:rsidR="00271A77" w:rsidRPr="00E66906" w:rsidRDefault="00B208DA" w:rsidP="00271A77">
      <w:pPr>
        <w:pStyle w:val="Akapitzlist"/>
        <w:numPr>
          <w:ilvl w:val="0"/>
          <w:numId w:val="15"/>
        </w:numPr>
        <w:rPr>
          <w:rFonts w:ascii="Calibri" w:hAnsi="Calibri" w:cs="Calibri"/>
          <w:color w:val="auto"/>
          <w:sz w:val="22"/>
        </w:rPr>
      </w:pPr>
      <w:r w:rsidRPr="00FF737A">
        <w:rPr>
          <w:rFonts w:ascii="Calibri" w:hAnsi="Calibri" w:cs="Calibri"/>
          <w:sz w:val="22"/>
        </w:rPr>
        <w:t xml:space="preserve">Zakłada się do porównania ofert wykorzystanie kredytu przez okres </w:t>
      </w:r>
      <w:r w:rsidR="00271A77" w:rsidRPr="00FF737A">
        <w:rPr>
          <w:rFonts w:ascii="Calibri" w:hAnsi="Calibri" w:cs="Calibri"/>
          <w:sz w:val="22"/>
        </w:rPr>
        <w:t>9</w:t>
      </w:r>
      <w:r w:rsidRPr="00FF737A">
        <w:rPr>
          <w:rFonts w:ascii="Calibri" w:hAnsi="Calibri" w:cs="Calibri"/>
          <w:sz w:val="22"/>
        </w:rPr>
        <w:t xml:space="preserve">0 dni w ciągu roku (gdzie rok liczy 365 dni) oraz ilości lat świadczenia usługi bankowej (3 lata). Oprocentowanie kredytu będzie liczone od kwoty wykorzystanego kredytu na dany dzień w oparciu o zmienną stopę procentową równą stawce WIBOR </w:t>
      </w:r>
      <w:r w:rsidR="00271A77" w:rsidRPr="00FF737A">
        <w:rPr>
          <w:rFonts w:ascii="Calibri" w:hAnsi="Calibri" w:cs="Calibri"/>
          <w:sz w:val="22"/>
        </w:rPr>
        <w:t>3</w:t>
      </w:r>
      <w:r w:rsidRPr="00FF737A">
        <w:rPr>
          <w:rFonts w:ascii="Calibri" w:hAnsi="Calibri" w:cs="Calibri"/>
          <w:sz w:val="22"/>
        </w:rPr>
        <w:t xml:space="preserve">M powiększonej o stałą marżę zaproponowaną przez Wykonawcę. Marżę należy podać z dokładnością do dwóch miejsc po przecinku. W przypadku podania wartości marży z dokładnością do większej liczby miejsc po przecinku, Zamawiający zaokrągli wartość do dwóch miejsc po przecinku, zgodnie z regułami matematycznymi. Zamawiający nie przewiduje dodatkowych opłat i prowizji bankowych, za wyjątkiem odsetek od rzeczywiście wykorzystanego kredytu. Dla celów porównania ofert </w:t>
      </w:r>
      <w:r w:rsidRPr="00E66906">
        <w:rPr>
          <w:rFonts w:ascii="Calibri" w:hAnsi="Calibri" w:cs="Calibri"/>
          <w:color w:val="auto"/>
          <w:sz w:val="22"/>
        </w:rPr>
        <w:t xml:space="preserve">przyjmuje się </w:t>
      </w:r>
      <w:r w:rsidRPr="00E66906">
        <w:rPr>
          <w:rFonts w:ascii="Calibri" w:hAnsi="Calibri" w:cs="Calibri"/>
          <w:b/>
          <w:bCs/>
          <w:color w:val="auto"/>
          <w:sz w:val="22"/>
        </w:rPr>
        <w:t xml:space="preserve">WIBOR </w:t>
      </w:r>
      <w:r w:rsidR="00271A77" w:rsidRPr="00E66906">
        <w:rPr>
          <w:rFonts w:ascii="Calibri" w:hAnsi="Calibri" w:cs="Calibri"/>
          <w:b/>
          <w:bCs/>
          <w:color w:val="auto"/>
          <w:sz w:val="22"/>
        </w:rPr>
        <w:t>3</w:t>
      </w:r>
      <w:r w:rsidRPr="00E66906">
        <w:rPr>
          <w:rFonts w:ascii="Calibri" w:hAnsi="Calibri" w:cs="Calibri"/>
          <w:b/>
          <w:bCs/>
          <w:color w:val="auto"/>
          <w:sz w:val="22"/>
        </w:rPr>
        <w:t xml:space="preserve">M z dnia </w:t>
      </w:r>
      <w:r w:rsidR="00214BC8" w:rsidRPr="00E66906">
        <w:rPr>
          <w:rFonts w:ascii="Calibri" w:hAnsi="Calibri" w:cs="Calibri"/>
          <w:b/>
          <w:bCs/>
          <w:color w:val="auto"/>
          <w:sz w:val="22"/>
        </w:rPr>
        <w:t>09</w:t>
      </w:r>
      <w:r w:rsidRPr="00E66906">
        <w:rPr>
          <w:rFonts w:ascii="Calibri" w:hAnsi="Calibri" w:cs="Calibri"/>
          <w:b/>
          <w:bCs/>
          <w:color w:val="auto"/>
          <w:sz w:val="22"/>
        </w:rPr>
        <w:t>.</w:t>
      </w:r>
      <w:r w:rsidR="00214BC8" w:rsidRPr="00E66906">
        <w:rPr>
          <w:rFonts w:ascii="Calibri" w:hAnsi="Calibri" w:cs="Calibri"/>
          <w:b/>
          <w:bCs/>
          <w:color w:val="auto"/>
          <w:sz w:val="22"/>
        </w:rPr>
        <w:t>02</w:t>
      </w:r>
      <w:r w:rsidRPr="00E66906">
        <w:rPr>
          <w:rFonts w:ascii="Calibri" w:hAnsi="Calibri" w:cs="Calibri"/>
          <w:b/>
          <w:bCs/>
          <w:color w:val="auto"/>
          <w:sz w:val="22"/>
        </w:rPr>
        <w:t>.202</w:t>
      </w:r>
      <w:r w:rsidR="00214BC8" w:rsidRPr="00E66906">
        <w:rPr>
          <w:rFonts w:ascii="Calibri" w:hAnsi="Calibri" w:cs="Calibri"/>
          <w:b/>
          <w:bCs/>
          <w:color w:val="auto"/>
          <w:sz w:val="22"/>
        </w:rPr>
        <w:t>4</w:t>
      </w:r>
      <w:r w:rsidRPr="00E66906">
        <w:rPr>
          <w:rFonts w:ascii="Calibri" w:hAnsi="Calibri" w:cs="Calibri"/>
          <w:b/>
          <w:bCs/>
          <w:color w:val="auto"/>
          <w:sz w:val="22"/>
        </w:rPr>
        <w:t xml:space="preserve"> r. na poziomie </w:t>
      </w:r>
      <w:r w:rsidR="00271A77" w:rsidRPr="00E66906">
        <w:rPr>
          <w:rFonts w:ascii="Calibri" w:hAnsi="Calibri" w:cs="Calibri"/>
          <w:b/>
          <w:bCs/>
          <w:color w:val="auto"/>
          <w:sz w:val="22"/>
        </w:rPr>
        <w:t>5,8</w:t>
      </w:r>
      <w:r w:rsidR="00214BC8" w:rsidRPr="00E66906">
        <w:rPr>
          <w:rFonts w:ascii="Calibri" w:hAnsi="Calibri" w:cs="Calibri"/>
          <w:b/>
          <w:bCs/>
          <w:color w:val="auto"/>
          <w:sz w:val="22"/>
        </w:rPr>
        <w:t>6</w:t>
      </w:r>
      <w:r w:rsidR="00271A77" w:rsidRPr="00E66906">
        <w:rPr>
          <w:rFonts w:ascii="Calibri" w:hAnsi="Calibri" w:cs="Calibri"/>
          <w:b/>
          <w:bCs/>
          <w:color w:val="auto"/>
          <w:sz w:val="22"/>
        </w:rPr>
        <w:t xml:space="preserve"> </w:t>
      </w:r>
      <w:r w:rsidRPr="00E66906">
        <w:rPr>
          <w:rFonts w:ascii="Calibri" w:hAnsi="Calibri" w:cs="Calibri"/>
          <w:b/>
          <w:bCs/>
          <w:color w:val="auto"/>
          <w:sz w:val="22"/>
        </w:rPr>
        <w:t>%.</w:t>
      </w:r>
      <w:r w:rsidRPr="00E66906">
        <w:rPr>
          <w:rFonts w:ascii="Calibri" w:hAnsi="Calibri" w:cs="Calibri"/>
          <w:color w:val="auto"/>
          <w:sz w:val="22"/>
        </w:rPr>
        <w:t xml:space="preserve"> </w:t>
      </w:r>
    </w:p>
    <w:p w14:paraId="1810134E" w14:textId="77777777" w:rsidR="00271A77" w:rsidRPr="00FF737A" w:rsidRDefault="00B208DA" w:rsidP="00271A77">
      <w:pPr>
        <w:pStyle w:val="Akapitzlist"/>
        <w:numPr>
          <w:ilvl w:val="0"/>
          <w:numId w:val="15"/>
        </w:numPr>
        <w:rPr>
          <w:rFonts w:ascii="Calibri" w:hAnsi="Calibri" w:cs="Calibri"/>
          <w:sz w:val="22"/>
        </w:rPr>
      </w:pPr>
      <w:r w:rsidRPr="00FF737A">
        <w:rPr>
          <w:rFonts w:ascii="Calibri" w:hAnsi="Calibri" w:cs="Calibri"/>
          <w:sz w:val="22"/>
        </w:rPr>
        <w:t xml:space="preserve">Wykonawca może zaproponować tylko jedną cenę za wykonanie usług bankowych objętych przedmiotem zamówienia. Zamawiający nie dopuszcza wariantowości cen. </w:t>
      </w:r>
    </w:p>
    <w:p w14:paraId="285768F1" w14:textId="77777777" w:rsidR="00271A77" w:rsidRPr="00FF737A" w:rsidRDefault="00B208DA" w:rsidP="00271A77">
      <w:pPr>
        <w:pStyle w:val="Akapitzlist"/>
        <w:numPr>
          <w:ilvl w:val="0"/>
          <w:numId w:val="15"/>
        </w:numPr>
        <w:rPr>
          <w:rFonts w:ascii="Calibri" w:hAnsi="Calibri" w:cs="Calibri"/>
          <w:sz w:val="22"/>
        </w:rPr>
      </w:pPr>
      <w:r w:rsidRPr="00FF737A">
        <w:rPr>
          <w:rFonts w:ascii="Calibri" w:hAnsi="Calibri" w:cs="Calibri"/>
          <w:sz w:val="22"/>
        </w:rPr>
        <w:t xml:space="preserve">Nie dopuszcza się wprowadzania jakichkolwiek dodatkowych opłat i prowizji w okresie obowiązywania umowy. </w:t>
      </w:r>
    </w:p>
    <w:p w14:paraId="515A9E40" w14:textId="77777777" w:rsidR="00271A77" w:rsidRPr="00FF737A" w:rsidRDefault="00B208DA" w:rsidP="00271A77">
      <w:pPr>
        <w:pStyle w:val="Akapitzlist"/>
        <w:numPr>
          <w:ilvl w:val="0"/>
          <w:numId w:val="15"/>
        </w:numPr>
        <w:rPr>
          <w:rFonts w:ascii="Calibri" w:hAnsi="Calibri" w:cs="Calibri"/>
          <w:sz w:val="22"/>
        </w:rPr>
      </w:pPr>
      <w:r w:rsidRPr="00FF737A">
        <w:rPr>
          <w:rFonts w:ascii="Calibri" w:hAnsi="Calibri" w:cs="Calibri"/>
          <w:sz w:val="22"/>
        </w:rPr>
        <w:t xml:space="preserve">Zamawiający nie przewiduje rozliczania w walutach obcych.  </w:t>
      </w:r>
    </w:p>
    <w:p w14:paraId="708B8E0F" w14:textId="662C6CE6" w:rsidR="00EC2759" w:rsidRPr="00FF737A" w:rsidRDefault="00B208DA" w:rsidP="00271A77">
      <w:pPr>
        <w:pStyle w:val="Akapitzlist"/>
        <w:numPr>
          <w:ilvl w:val="0"/>
          <w:numId w:val="15"/>
        </w:numPr>
        <w:rPr>
          <w:rFonts w:ascii="Calibri" w:hAnsi="Calibri" w:cs="Calibri"/>
          <w:sz w:val="22"/>
        </w:rPr>
      </w:pPr>
      <w:r w:rsidRPr="00FF737A">
        <w:rPr>
          <w:rFonts w:ascii="Calibri" w:hAnsi="Calibri" w:cs="Calibri"/>
          <w:sz w:val="22"/>
        </w:rPr>
        <w:t xml:space="preserve">Wykonawcy ponoszą wszelkie koszty związane z przygotowaniem i złożeniem oferty. </w:t>
      </w:r>
    </w:p>
    <w:p w14:paraId="34D5C984" w14:textId="77777777" w:rsidR="00EC2759" w:rsidRDefault="00B208DA">
      <w:pPr>
        <w:spacing w:after="20" w:line="259" w:lineRule="auto"/>
        <w:ind w:left="77" w:right="0" w:firstLine="0"/>
        <w:jc w:val="left"/>
      </w:pPr>
      <w:r>
        <w:rPr>
          <w:color w:val="FF0000"/>
          <w:sz w:val="24"/>
        </w:rPr>
        <w:t xml:space="preserve"> </w:t>
      </w:r>
    </w:p>
    <w:p w14:paraId="08A08E5F" w14:textId="77777777" w:rsidR="00EC2759" w:rsidRDefault="00B208DA">
      <w:pPr>
        <w:pStyle w:val="Nagwek3"/>
        <w:spacing w:after="143"/>
        <w:ind w:left="72" w:right="185"/>
      </w:pPr>
      <w:r>
        <w:t xml:space="preserve">Rozdział XVIII Termin związania ofertą </w:t>
      </w:r>
    </w:p>
    <w:p w14:paraId="12827595" w14:textId="7DFC8A4D" w:rsidR="00EC2759" w:rsidRDefault="00B208DA">
      <w:pPr>
        <w:numPr>
          <w:ilvl w:val="0"/>
          <w:numId w:val="16"/>
        </w:numPr>
        <w:ind w:left="366" w:right="187" w:hanging="283"/>
      </w:pPr>
      <w:r>
        <w:t xml:space="preserve">Wykonawca będzie związany ofertą do </w:t>
      </w:r>
      <w:r w:rsidRPr="00885ECA">
        <w:rPr>
          <w:b/>
          <w:bCs/>
          <w:color w:val="auto"/>
        </w:rPr>
        <w:t xml:space="preserve">dnia </w:t>
      </w:r>
      <w:r w:rsidR="001342C1">
        <w:rPr>
          <w:b/>
          <w:bCs/>
          <w:color w:val="auto"/>
        </w:rPr>
        <w:t>1</w:t>
      </w:r>
      <w:r w:rsidR="007D7641">
        <w:rPr>
          <w:b/>
          <w:bCs/>
          <w:color w:val="auto"/>
        </w:rPr>
        <w:t>6</w:t>
      </w:r>
      <w:r w:rsidR="00885ECA" w:rsidRPr="00885ECA">
        <w:rPr>
          <w:b/>
          <w:bCs/>
          <w:color w:val="auto"/>
        </w:rPr>
        <w:t>.0</w:t>
      </w:r>
      <w:r w:rsidR="007D7641">
        <w:rPr>
          <w:b/>
          <w:bCs/>
          <w:color w:val="auto"/>
        </w:rPr>
        <w:t>4</w:t>
      </w:r>
      <w:r w:rsidR="00D032E5" w:rsidRPr="00885ECA">
        <w:rPr>
          <w:b/>
          <w:bCs/>
          <w:color w:val="auto"/>
        </w:rPr>
        <w:t>.2024r</w:t>
      </w:r>
      <w:r w:rsidR="00D032E5" w:rsidRPr="00AA0780">
        <w:rPr>
          <w:b/>
          <w:color w:val="FF0000"/>
        </w:rPr>
        <w:t>.</w:t>
      </w:r>
      <w:r w:rsidRPr="00AA0780">
        <w:rPr>
          <w:color w:val="FF0000"/>
        </w:rPr>
        <w:t xml:space="preserve"> </w:t>
      </w:r>
      <w:r w:rsidRPr="00214BC8">
        <w:rPr>
          <w:color w:val="auto"/>
        </w:rPr>
        <w:t xml:space="preserve">Bieg terminu związania </w:t>
      </w:r>
      <w:r>
        <w:t xml:space="preserve">ofertą rozpoczyna się wraz z upływem terminu składania ofert. </w:t>
      </w:r>
    </w:p>
    <w:p w14:paraId="31E588E8" w14:textId="77777777" w:rsidR="00EC2759" w:rsidRDefault="00B208DA">
      <w:pPr>
        <w:numPr>
          <w:ilvl w:val="0"/>
          <w:numId w:val="16"/>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77777777" w:rsidR="00EC2759" w:rsidRDefault="00B208DA">
      <w:pPr>
        <w:pStyle w:val="Nagwek3"/>
        <w:spacing w:after="143"/>
        <w:ind w:left="72" w:right="185"/>
      </w:pPr>
      <w:r>
        <w:t xml:space="preserve">Rozdział XIX Sposób i termin składania ofert oraz termin otwarcia </w:t>
      </w:r>
    </w:p>
    <w:p w14:paraId="0B543F71" w14:textId="77777777" w:rsidR="00EC2759" w:rsidRDefault="00B208DA">
      <w:pPr>
        <w:numPr>
          <w:ilvl w:val="0"/>
          <w:numId w:val="17"/>
        </w:numPr>
        <w:spacing w:after="41" w:line="269" w:lineRule="auto"/>
        <w:ind w:right="187" w:hanging="283"/>
      </w:pPr>
      <w:r>
        <w:rPr>
          <w:color w:val="000000"/>
        </w:rPr>
        <w:t xml:space="preserve">Miejsce i termin składania ofert  </w:t>
      </w:r>
    </w:p>
    <w:p w14:paraId="3A128FB8" w14:textId="5836D3C3" w:rsidR="00EC2759" w:rsidRPr="00FF737A" w:rsidRDefault="00B208DA" w:rsidP="00FF737A">
      <w:pPr>
        <w:numPr>
          <w:ilvl w:val="1"/>
          <w:numId w:val="17"/>
        </w:numPr>
        <w:ind w:right="187" w:hanging="283"/>
        <w:rPr>
          <w:bCs/>
        </w:rPr>
      </w:pPr>
      <w:r>
        <w:t xml:space="preserve">Ofertę wraz z wymaganymi dokumentami należy złożyć poprzez Platformę </w:t>
      </w:r>
      <w:hyperlink r:id="rId21">
        <w:r>
          <w:rPr>
            <w:color w:val="1155CC"/>
            <w:u w:val="single" w:color="1155CC"/>
          </w:rPr>
          <w:t>platformazakupowa.pl</w:t>
        </w:r>
      </w:hyperlink>
      <w:hyperlink r:id="rId22">
        <w:r>
          <w:rPr>
            <w:color w:val="1155CC"/>
          </w:rPr>
          <w:t xml:space="preserve"> </w:t>
        </w:r>
      </w:hyperlink>
      <w:r>
        <w:t xml:space="preserve">pod adresem: </w:t>
      </w:r>
      <w:hyperlink r:id="rId23">
        <w:r>
          <w:t xml:space="preserve"> </w:t>
        </w:r>
      </w:hyperlink>
      <w:r w:rsidR="00FF737A" w:rsidRPr="00FF737A">
        <w:rPr>
          <w:bCs/>
        </w:rPr>
        <w:t xml:space="preserve"> </w:t>
      </w:r>
      <w:hyperlink r:id="rId24" w:history="1">
        <w:r w:rsidR="00AA0780" w:rsidRPr="005C55B7">
          <w:rPr>
            <w:rStyle w:val="Hipercze"/>
            <w:bCs/>
          </w:rPr>
          <w:t>https://platformazakupowa.pl/pn/ug_leczyca</w:t>
        </w:r>
      </w:hyperlink>
      <w:r w:rsidR="00FF737A">
        <w:rPr>
          <w:bCs/>
        </w:rPr>
        <w:t xml:space="preserve"> </w:t>
      </w:r>
      <w:r>
        <w:t xml:space="preserve">w myśl Ustawy </w:t>
      </w:r>
      <w:proofErr w:type="spellStart"/>
      <w:r>
        <w:t>Pzp</w:t>
      </w:r>
      <w:proofErr w:type="spellEnd"/>
      <w:r>
        <w:t xml:space="preserve"> na stronie internetowej prowadzonego postępowania</w:t>
      </w:r>
      <w:r w:rsidR="00FF737A" w:rsidRPr="00FF737A">
        <w:rPr>
          <w:bCs/>
        </w:rPr>
        <w:t xml:space="preserve"> </w:t>
      </w:r>
      <w:r w:rsidRPr="00FF737A">
        <w:rPr>
          <w:b/>
        </w:rPr>
        <w:t xml:space="preserve"> do dnia </w:t>
      </w:r>
      <w:r w:rsidR="00AB74CB">
        <w:rPr>
          <w:b/>
        </w:rPr>
        <w:t>1</w:t>
      </w:r>
      <w:r w:rsidR="007D7641">
        <w:rPr>
          <w:b/>
        </w:rPr>
        <w:t>8</w:t>
      </w:r>
      <w:r w:rsidRPr="00FF737A">
        <w:rPr>
          <w:b/>
        </w:rPr>
        <w:t>.</w:t>
      </w:r>
      <w:r w:rsidR="00FF7B1D">
        <w:rPr>
          <w:b/>
        </w:rPr>
        <w:t>0</w:t>
      </w:r>
      <w:r w:rsidR="007D7641">
        <w:rPr>
          <w:b/>
        </w:rPr>
        <w:t>3</w:t>
      </w:r>
      <w:r w:rsidRPr="00FF737A">
        <w:rPr>
          <w:b/>
        </w:rPr>
        <w:t>.202</w:t>
      </w:r>
      <w:r w:rsidR="00FF7B1D">
        <w:rPr>
          <w:b/>
        </w:rPr>
        <w:t>4</w:t>
      </w:r>
      <w:r w:rsidRPr="00FF737A">
        <w:rPr>
          <w:b/>
        </w:rPr>
        <w:t xml:space="preserve"> r. do godziny 09:30</w:t>
      </w:r>
      <w:r>
        <w:t>.</w:t>
      </w:r>
      <w:r w:rsidRPr="00FF737A">
        <w:rPr>
          <w:b/>
        </w:rPr>
        <w:t xml:space="preserve"> </w:t>
      </w:r>
    </w:p>
    <w:p w14:paraId="75204C20" w14:textId="77777777" w:rsidR="00EC2759" w:rsidRDefault="00B208DA">
      <w:pPr>
        <w:numPr>
          <w:ilvl w:val="1"/>
          <w:numId w:val="17"/>
        </w:numPr>
        <w:ind w:right="187" w:hanging="283"/>
      </w:pPr>
      <w:r>
        <w:t xml:space="preserve">Do oferty należy dołączyć wszystkie wymagane w SWZ dokumenty. </w:t>
      </w:r>
    </w:p>
    <w:p w14:paraId="73154FFF" w14:textId="77777777" w:rsidR="00EC2759" w:rsidRDefault="00B208DA">
      <w:pPr>
        <w:numPr>
          <w:ilvl w:val="1"/>
          <w:numId w:val="17"/>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pPr>
        <w:numPr>
          <w:ilvl w:val="1"/>
          <w:numId w:val="17"/>
        </w:numPr>
        <w:ind w:right="187" w:hanging="283"/>
      </w:pPr>
      <w:r>
        <w:t xml:space="preserve">Oferta składana elektronicznie musi zostać podpisana elektronicznym podpisem kwalifikowanym, podpisem zaufanym lub podpisem osobistym. W procesie składania oferty za pośrednictwem </w:t>
      </w:r>
      <w:hyperlink r:id="rId25">
        <w:r>
          <w:rPr>
            <w:color w:val="1155CC"/>
            <w:u w:val="single" w:color="1155CC"/>
          </w:rPr>
          <w:t>platformazakupowa.pl</w:t>
        </w:r>
      </w:hyperlink>
      <w:hyperlink r:id="rId26">
        <w:r>
          <w:t>,</w:t>
        </w:r>
      </w:hyperlink>
      <w:r>
        <w:t xml:space="preserve"> wykonawca powinien złożyć podpis bezpośrednio na dokumentach przesłanych za pośrednictwem </w:t>
      </w:r>
      <w:hyperlink r:id="rId27">
        <w:r>
          <w:rPr>
            <w:color w:val="1155CC"/>
            <w:u w:val="single" w:color="1155CC"/>
          </w:rPr>
          <w:t>platformazakupowa.pl</w:t>
        </w:r>
      </w:hyperlink>
      <w:hyperlink r:id="rId28">
        <w:r>
          <w:t>.</w:t>
        </w:r>
      </w:hyperlink>
      <w:r>
        <w:t xml:space="preserve"> Zalecamy stosowanie podpisu na każdym </w:t>
      </w:r>
      <w:r>
        <w:lastRenderedPageBreak/>
        <w:t xml:space="preserve">załączonym pliku osobno, w szczególności wskazanych w art. 63 ust. 1 oraz ust.2  ustawy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pPr>
        <w:numPr>
          <w:ilvl w:val="1"/>
          <w:numId w:val="17"/>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pPr>
        <w:numPr>
          <w:ilvl w:val="1"/>
          <w:numId w:val="17"/>
        </w:numPr>
        <w:ind w:right="187" w:hanging="283"/>
      </w:pPr>
      <w:r>
        <w:t xml:space="preserve">Szczegółowa instrukcja dla Wykonawców dotycząca złożenia, zmiany i wycofania oferty znajduje się na stronie internetowej pod adresem:  </w:t>
      </w:r>
      <w:hyperlink r:id="rId29">
        <w:r>
          <w:rPr>
            <w:color w:val="1155CC"/>
            <w:u w:val="single" w:color="1155CC"/>
          </w:rPr>
          <w:t>https://platformazakupowa.pl/strona/45</w:t>
        </w:r>
      </w:hyperlink>
      <w:hyperlink r:id="rId30">
        <w:r>
          <w:rPr>
            <w:color w:val="1155CC"/>
            <w:u w:val="single" w:color="1155CC"/>
          </w:rPr>
          <w:t>-</w:t>
        </w:r>
      </w:hyperlink>
      <w:hyperlink r:id="rId31">
        <w:r>
          <w:rPr>
            <w:color w:val="1155CC"/>
            <w:u w:val="single" w:color="1155CC"/>
          </w:rPr>
          <w:t>instrukcje</w:t>
        </w:r>
      </w:hyperlink>
      <w:hyperlink r:id="rId32">
        <w:r>
          <w:rPr>
            <w:color w:val="1155CC"/>
            <w:u w:val="single" w:color="1155CC"/>
          </w:rPr>
          <w:t>.</w:t>
        </w:r>
      </w:hyperlink>
      <w:r>
        <w:t xml:space="preserve"> </w:t>
      </w:r>
    </w:p>
    <w:p w14:paraId="2BDB9188" w14:textId="77777777" w:rsidR="00EC2759" w:rsidRDefault="00B208DA">
      <w:pPr>
        <w:numPr>
          <w:ilvl w:val="0"/>
          <w:numId w:val="17"/>
        </w:numPr>
        <w:spacing w:after="41" w:line="269" w:lineRule="auto"/>
        <w:ind w:right="187" w:hanging="283"/>
      </w:pPr>
      <w:r>
        <w:rPr>
          <w:color w:val="000000"/>
        </w:rPr>
        <w:t xml:space="preserve">Otwarcie ofert </w:t>
      </w:r>
    </w:p>
    <w:p w14:paraId="216ACF99" w14:textId="662CA8FF" w:rsidR="00EC2759" w:rsidRDefault="00B208DA">
      <w:pPr>
        <w:numPr>
          <w:ilvl w:val="1"/>
          <w:numId w:val="17"/>
        </w:numPr>
        <w:ind w:right="187" w:hanging="283"/>
      </w:pPr>
      <w:r>
        <w:t xml:space="preserve">Otwarcie ofert nastąpi w dniu </w:t>
      </w:r>
      <w:r w:rsidR="00AB74CB">
        <w:rPr>
          <w:b/>
        </w:rPr>
        <w:t>1</w:t>
      </w:r>
      <w:r w:rsidR="007D7641">
        <w:rPr>
          <w:b/>
        </w:rPr>
        <w:t>8</w:t>
      </w:r>
      <w:r w:rsidR="00FF7B1D" w:rsidRPr="00FF7B1D">
        <w:rPr>
          <w:b/>
        </w:rPr>
        <w:t>.0</w:t>
      </w:r>
      <w:r w:rsidR="007D7641">
        <w:rPr>
          <w:b/>
        </w:rPr>
        <w:t>3</w:t>
      </w:r>
      <w:r w:rsidR="00FF7B1D" w:rsidRPr="00FF7B1D">
        <w:rPr>
          <w:b/>
        </w:rPr>
        <w:t xml:space="preserve">.2024 r. </w:t>
      </w:r>
      <w:r>
        <w:rPr>
          <w:b/>
        </w:rPr>
        <w:t>o godzinie 10:00.</w:t>
      </w:r>
      <w:r>
        <w:t xml:space="preserve"> </w:t>
      </w:r>
    </w:p>
    <w:p w14:paraId="19AAD51C" w14:textId="77777777" w:rsidR="00EC2759" w:rsidRDefault="00B208DA">
      <w:pPr>
        <w:numPr>
          <w:ilvl w:val="1"/>
          <w:numId w:val="17"/>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pPr>
        <w:numPr>
          <w:ilvl w:val="1"/>
          <w:numId w:val="17"/>
        </w:numPr>
        <w:ind w:right="187" w:hanging="283"/>
      </w:pPr>
      <w:r>
        <w:t xml:space="preserve">Zamawiający poinformuje o zmianie terminu otwarcia ofert na stronie internetowej prowadzonego postępowania. </w:t>
      </w:r>
    </w:p>
    <w:p w14:paraId="258EEA1F" w14:textId="77777777" w:rsidR="00EC2759" w:rsidRDefault="00B208DA">
      <w:pPr>
        <w:numPr>
          <w:ilvl w:val="1"/>
          <w:numId w:val="17"/>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pPr>
        <w:numPr>
          <w:ilvl w:val="1"/>
          <w:numId w:val="17"/>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33">
        <w:r>
          <w:rPr>
            <w:color w:val="1155CC"/>
            <w:u w:val="single" w:color="1155CC"/>
          </w:rPr>
          <w:t xml:space="preserve"> </w:t>
        </w:r>
      </w:hyperlink>
      <w:hyperlink r:id="rId34">
        <w:r>
          <w:rPr>
            <w:color w:val="1155CC"/>
            <w:u w:val="single" w:color="1155CC"/>
          </w:rPr>
          <w:t>platformazakupowa.pl</w:t>
        </w:r>
      </w:hyperlink>
      <w:hyperlink r:id="rId35">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77777777" w:rsidR="00EC2759" w:rsidRDefault="00B208DA">
      <w:pPr>
        <w:pStyle w:val="Nagwek2"/>
        <w:spacing w:after="144"/>
        <w:ind w:left="72" w:right="183"/>
      </w:pPr>
      <w:r>
        <w:t xml:space="preserve">Rozdział XX Opis kryteriów oceny ofert, wraz z podaniem wag tych kryteriów i sposobu oceny ofert </w:t>
      </w:r>
    </w:p>
    <w:p w14:paraId="2B8939A0" w14:textId="53065CD6" w:rsidR="00271A77" w:rsidRPr="00271A77" w:rsidRDefault="00271A77" w:rsidP="00271A77">
      <w:pPr>
        <w:spacing w:after="100" w:line="259" w:lineRule="auto"/>
        <w:ind w:left="77" w:right="0" w:firstLine="0"/>
        <w:jc w:val="left"/>
      </w:pPr>
      <w:r>
        <w:t xml:space="preserve">1. </w:t>
      </w:r>
      <w:r w:rsidRPr="00271A77">
        <w:t xml:space="preserve">W niniejszym </w:t>
      </w:r>
      <w:r>
        <w:t>postępowaniu</w:t>
      </w:r>
      <w:r w:rsidRPr="00271A77">
        <w:t xml:space="preserve"> oferty oceniane będą na podstawie następujących kryteriów:</w:t>
      </w:r>
    </w:p>
    <w:p w14:paraId="4A747CC0" w14:textId="2BF018EA" w:rsidR="00271A77" w:rsidRPr="00271A77" w:rsidRDefault="00271A77" w:rsidP="00271A77">
      <w:pPr>
        <w:spacing w:after="100" w:line="259" w:lineRule="auto"/>
        <w:ind w:left="77" w:right="0" w:firstLine="0"/>
        <w:jc w:val="left"/>
      </w:pPr>
      <w:r>
        <w:t>1.</w:t>
      </w:r>
      <w:r w:rsidRPr="00271A77">
        <w:t>1. Kryterium Numer 1 – Cena / koszt obsługi bankowej - waga – 60 %</w:t>
      </w:r>
    </w:p>
    <w:p w14:paraId="71E2B27B" w14:textId="3E4D75E1" w:rsidR="00271A77" w:rsidRPr="00271A77" w:rsidRDefault="00271A77" w:rsidP="00271A77">
      <w:pPr>
        <w:spacing w:after="100" w:line="259" w:lineRule="auto"/>
        <w:ind w:left="77" w:right="0" w:firstLine="0"/>
        <w:jc w:val="left"/>
      </w:pPr>
      <w:r>
        <w:t>1.</w:t>
      </w:r>
      <w:r w:rsidRPr="00271A77">
        <w:t>2. Kryterium Numer 2 – Oprocentowanie rachunków bieżących i pomocniczych – waga - 30 %</w:t>
      </w:r>
    </w:p>
    <w:p w14:paraId="20E605A2" w14:textId="49F6673D" w:rsidR="00271A77" w:rsidRPr="00271A77" w:rsidRDefault="00271A77" w:rsidP="00271A77">
      <w:pPr>
        <w:spacing w:after="100" w:line="259" w:lineRule="auto"/>
        <w:ind w:left="77" w:right="0" w:firstLine="0"/>
        <w:jc w:val="left"/>
      </w:pPr>
      <w:r>
        <w:t>1.</w:t>
      </w:r>
      <w:r w:rsidRPr="00271A77">
        <w:t>3. Kryterium Numer 3 – Oprocentowanie kredytu w rachunku - waga – 10 %</w:t>
      </w:r>
    </w:p>
    <w:p w14:paraId="0C2E8BF1" w14:textId="77777777" w:rsidR="00271A77" w:rsidRDefault="00271A77" w:rsidP="00271A77">
      <w:pPr>
        <w:spacing w:after="100" w:line="259" w:lineRule="auto"/>
        <w:ind w:left="77" w:right="0" w:firstLine="0"/>
        <w:jc w:val="left"/>
        <w:rPr>
          <w:b/>
          <w:bCs/>
          <w:lang w:bidi="en-US"/>
        </w:rPr>
      </w:pPr>
      <w:r w:rsidRPr="00271A77">
        <w:rPr>
          <w:lang w:bidi="en-US"/>
        </w:rPr>
        <w:t>Wybrana zostanie oferta która otrzyma największą ilość punktów liczony w następujący sposób</w:t>
      </w:r>
      <w:r w:rsidRPr="00271A77">
        <w:rPr>
          <w:b/>
          <w:bCs/>
          <w:lang w:bidi="en-US"/>
        </w:rPr>
        <w:t>:</w:t>
      </w:r>
    </w:p>
    <w:p w14:paraId="3372CF86" w14:textId="70BB52CC" w:rsidR="00271A77" w:rsidRPr="00271A77" w:rsidRDefault="00271A77" w:rsidP="00271A77">
      <w:pPr>
        <w:spacing w:after="100" w:line="259" w:lineRule="auto"/>
        <w:ind w:left="77" w:right="0" w:firstLine="0"/>
        <w:jc w:val="left"/>
        <w:rPr>
          <w:b/>
          <w:bCs/>
          <w:lang w:bidi="en-US"/>
        </w:rPr>
      </w:pPr>
      <w:r w:rsidRPr="00271A77">
        <w:rPr>
          <w:b/>
          <w:bCs/>
          <w:lang w:bidi="en-US"/>
        </w:rPr>
        <w:t>P = P1 + P2 + P3</w:t>
      </w:r>
    </w:p>
    <w:p w14:paraId="72265FB4" w14:textId="77777777" w:rsidR="00271A77" w:rsidRPr="00271A77" w:rsidRDefault="00271A77" w:rsidP="00271A77">
      <w:pPr>
        <w:spacing w:after="100" w:line="259" w:lineRule="auto"/>
        <w:ind w:left="77" w:right="0" w:firstLine="0"/>
        <w:jc w:val="left"/>
      </w:pPr>
      <w:r w:rsidRPr="00271A77">
        <w:t>2. Opis kryteriów - sposób oceny ofert:</w:t>
      </w:r>
    </w:p>
    <w:p w14:paraId="45325F98" w14:textId="77777777" w:rsidR="00271A77" w:rsidRPr="00271A77" w:rsidRDefault="00271A77" w:rsidP="00271A77">
      <w:pPr>
        <w:spacing w:after="100" w:line="259" w:lineRule="auto"/>
        <w:ind w:left="77" w:right="0" w:firstLine="0"/>
        <w:jc w:val="left"/>
      </w:pPr>
      <w:r w:rsidRPr="00271A77">
        <w:t>Do oceny punktowej w poszczególnych kryteriach stosowane będą następujące wzory:</w:t>
      </w:r>
    </w:p>
    <w:p w14:paraId="388A36F1" w14:textId="77777777" w:rsidR="00271A77" w:rsidRPr="00271A77" w:rsidRDefault="00271A77" w:rsidP="00271A77">
      <w:pPr>
        <w:spacing w:after="100" w:line="259" w:lineRule="auto"/>
        <w:ind w:left="77" w:right="0" w:firstLine="0"/>
        <w:jc w:val="left"/>
        <w:rPr>
          <w:lang w:bidi="en-US"/>
        </w:rPr>
      </w:pPr>
      <w:r w:rsidRPr="00271A77">
        <w:t xml:space="preserve">• </w:t>
      </w:r>
      <w:r w:rsidRPr="00271A77">
        <w:rPr>
          <w:b/>
        </w:rPr>
        <w:t xml:space="preserve">Kryterium 1  - koszt bieżącej obsługi bankowej </w:t>
      </w:r>
    </w:p>
    <w:p w14:paraId="296A8488" w14:textId="77777777" w:rsidR="00271A77" w:rsidRPr="00271A77" w:rsidRDefault="00271A77" w:rsidP="00271A77">
      <w:pPr>
        <w:spacing w:after="100" w:line="259" w:lineRule="auto"/>
        <w:ind w:left="77" w:right="0" w:firstLine="0"/>
        <w:jc w:val="left"/>
      </w:pPr>
      <w:r w:rsidRPr="00271A77">
        <w:lastRenderedPageBreak/>
        <w:t>Wartość punktowa ofert określona zostanie na podstawie wyliczenia matematycznego:</w:t>
      </w:r>
    </w:p>
    <w:p w14:paraId="766B2C18" w14:textId="77777777" w:rsidR="00271A77" w:rsidRPr="00271A77" w:rsidRDefault="00271A77" w:rsidP="00271A77">
      <w:pPr>
        <w:spacing w:after="100" w:line="259" w:lineRule="auto"/>
        <w:ind w:left="785" w:right="0" w:firstLine="0"/>
        <w:jc w:val="left"/>
      </w:pPr>
      <w:r w:rsidRPr="00271A77">
        <w:t>cena najniższa (zł)</w:t>
      </w:r>
    </w:p>
    <w:p w14:paraId="08879AFE" w14:textId="446C3430" w:rsidR="00271A77" w:rsidRPr="00271A77" w:rsidRDefault="00271A77" w:rsidP="00271A77">
      <w:pPr>
        <w:spacing w:after="100" w:line="259" w:lineRule="auto"/>
        <w:ind w:left="77" w:right="0" w:firstLine="0"/>
        <w:jc w:val="left"/>
        <w:rPr>
          <w:lang w:bidi="en-US"/>
        </w:rPr>
      </w:pPr>
      <w:r w:rsidRPr="00271A77">
        <w:rPr>
          <w:b/>
        </w:rPr>
        <w:t xml:space="preserve">P1 = </w:t>
      </w:r>
      <w:r w:rsidRPr="00271A77">
        <w:t>------------------------------------- x 60</w:t>
      </w:r>
    </w:p>
    <w:p w14:paraId="5551C8EE" w14:textId="77777777" w:rsidR="00271A77" w:rsidRPr="00271A77" w:rsidRDefault="00271A77" w:rsidP="00271A77">
      <w:pPr>
        <w:spacing w:after="100" w:line="259" w:lineRule="auto"/>
        <w:ind w:left="77" w:right="0" w:firstLine="631"/>
        <w:jc w:val="left"/>
      </w:pPr>
      <w:r w:rsidRPr="00271A77">
        <w:t>cena danej oferty (zł)</w:t>
      </w:r>
    </w:p>
    <w:p w14:paraId="3D963751" w14:textId="77777777" w:rsidR="00271A77" w:rsidRPr="00271A77" w:rsidRDefault="00271A77" w:rsidP="00271A77">
      <w:pPr>
        <w:spacing w:after="100" w:line="259" w:lineRule="auto"/>
        <w:ind w:left="77" w:right="0" w:firstLine="0"/>
        <w:jc w:val="left"/>
        <w:rPr>
          <w:lang w:bidi="en-US"/>
        </w:rPr>
      </w:pPr>
      <w:r w:rsidRPr="00271A77">
        <w:t xml:space="preserve">• </w:t>
      </w:r>
      <w:r w:rsidRPr="00271A77">
        <w:rPr>
          <w:b/>
        </w:rPr>
        <w:t>Kryterium 2</w:t>
      </w:r>
    </w:p>
    <w:p w14:paraId="46D4E4A2" w14:textId="77777777" w:rsidR="00271A77" w:rsidRPr="00271A77" w:rsidRDefault="00271A77" w:rsidP="00271A77">
      <w:pPr>
        <w:spacing w:after="100" w:line="259" w:lineRule="auto"/>
        <w:ind w:left="77" w:right="0" w:firstLine="0"/>
        <w:jc w:val="left"/>
        <w:rPr>
          <w:lang w:bidi="en-US"/>
        </w:rPr>
      </w:pPr>
      <w:r w:rsidRPr="00271A77">
        <w:t xml:space="preserve">Ocenie podlega wysokość oprocentowania środków na rachunkach bieżących i pomocniczych </w:t>
      </w:r>
    </w:p>
    <w:p w14:paraId="7053FC41" w14:textId="77777777" w:rsidR="00271A77" w:rsidRPr="00271A77" w:rsidRDefault="00271A77" w:rsidP="00271A77">
      <w:pPr>
        <w:spacing w:after="100" w:line="259" w:lineRule="auto"/>
        <w:ind w:left="77" w:right="0" w:firstLine="631"/>
        <w:jc w:val="left"/>
      </w:pPr>
      <w:r w:rsidRPr="00271A77">
        <w:t>Oprocentowanie danej oferty (%)</w:t>
      </w:r>
    </w:p>
    <w:p w14:paraId="61014EE9" w14:textId="39298A2A" w:rsidR="00271A77" w:rsidRPr="00271A77" w:rsidRDefault="00271A77" w:rsidP="00271A77">
      <w:pPr>
        <w:spacing w:after="100" w:line="259" w:lineRule="auto"/>
        <w:ind w:left="77" w:right="0" w:firstLine="0"/>
        <w:jc w:val="left"/>
        <w:rPr>
          <w:lang w:bidi="en-US"/>
        </w:rPr>
      </w:pPr>
      <w:r w:rsidRPr="00271A77">
        <w:rPr>
          <w:b/>
        </w:rPr>
        <w:t xml:space="preserve">P2 = </w:t>
      </w:r>
      <w:r w:rsidRPr="00271A77">
        <w:t>-----------------------------------------------</w:t>
      </w:r>
      <w:r w:rsidRPr="00271A77">
        <w:tab/>
        <w:t xml:space="preserve"> x 30</w:t>
      </w:r>
    </w:p>
    <w:p w14:paraId="0A3D1FE2" w14:textId="77777777" w:rsidR="00271A77" w:rsidRPr="00271A77" w:rsidRDefault="00271A77" w:rsidP="00271A77">
      <w:pPr>
        <w:spacing w:after="100" w:line="259" w:lineRule="auto"/>
        <w:ind w:left="77" w:right="0" w:firstLine="631"/>
        <w:jc w:val="left"/>
      </w:pPr>
      <w:r w:rsidRPr="00271A77">
        <w:t>Najwyższe oferowane oprocentowanie (%)</w:t>
      </w:r>
    </w:p>
    <w:p w14:paraId="65FCCF68" w14:textId="77777777" w:rsidR="00271A77" w:rsidRPr="00271A77" w:rsidRDefault="00271A77" w:rsidP="00271A77">
      <w:pPr>
        <w:spacing w:after="100" w:line="259" w:lineRule="auto"/>
        <w:ind w:left="77" w:right="0" w:firstLine="0"/>
        <w:jc w:val="left"/>
      </w:pPr>
      <w:r w:rsidRPr="00271A77">
        <w:t>Oprocentowania przyjęte zostaną bezpośrednio z ofert.</w:t>
      </w:r>
    </w:p>
    <w:p w14:paraId="2EADAC5D" w14:textId="77777777" w:rsidR="00271A77" w:rsidRPr="00271A77" w:rsidRDefault="00271A77" w:rsidP="00271A77">
      <w:pPr>
        <w:spacing w:after="100" w:line="259" w:lineRule="auto"/>
        <w:ind w:left="77" w:right="0" w:firstLine="0"/>
        <w:jc w:val="left"/>
        <w:rPr>
          <w:lang w:bidi="en-US"/>
        </w:rPr>
      </w:pPr>
      <w:r w:rsidRPr="00271A77">
        <w:t xml:space="preserve">• </w:t>
      </w:r>
      <w:r w:rsidRPr="00271A77">
        <w:rPr>
          <w:b/>
        </w:rPr>
        <w:t>Kryterium 3</w:t>
      </w:r>
    </w:p>
    <w:p w14:paraId="57BA2E9F" w14:textId="77777777" w:rsidR="00271A77" w:rsidRPr="00271A77" w:rsidRDefault="00271A77" w:rsidP="00271A77">
      <w:pPr>
        <w:spacing w:after="100" w:line="259" w:lineRule="auto"/>
        <w:ind w:left="77" w:right="0" w:firstLine="0"/>
        <w:jc w:val="left"/>
        <w:rPr>
          <w:lang w:bidi="en-US"/>
        </w:rPr>
      </w:pPr>
      <w:r w:rsidRPr="00271A77">
        <w:t>Ocenie podlega wysokości oprocentowania kredytu w rachunku bieżącym</w:t>
      </w:r>
    </w:p>
    <w:p w14:paraId="1C9B6481" w14:textId="5D64496E" w:rsidR="00271A77" w:rsidRPr="00271A77" w:rsidRDefault="00271A77" w:rsidP="00271A77">
      <w:pPr>
        <w:spacing w:after="100" w:line="259" w:lineRule="auto"/>
        <w:ind w:left="77" w:right="0" w:firstLine="0"/>
        <w:jc w:val="left"/>
      </w:pPr>
      <w:r w:rsidRPr="00271A77">
        <w:t xml:space="preserve"> </w:t>
      </w:r>
      <w:r>
        <w:tab/>
      </w:r>
      <w:r w:rsidRPr="00271A77">
        <w:t>Najniższe oferowane oprocentowanie (%)</w:t>
      </w:r>
    </w:p>
    <w:p w14:paraId="106B5B12" w14:textId="2939373D" w:rsidR="00271A77" w:rsidRPr="00271A77" w:rsidRDefault="00271A77" w:rsidP="00271A77">
      <w:pPr>
        <w:spacing w:after="100" w:line="259" w:lineRule="auto"/>
        <w:ind w:left="77" w:right="0" w:firstLine="0"/>
        <w:jc w:val="left"/>
        <w:rPr>
          <w:lang w:bidi="en-US"/>
        </w:rPr>
      </w:pPr>
      <w:r w:rsidRPr="00271A77">
        <w:rPr>
          <w:b/>
        </w:rPr>
        <w:t xml:space="preserve">P3 = </w:t>
      </w:r>
      <w:r w:rsidRPr="00271A77">
        <w:t>----------------------------------------------------------------- x10</w:t>
      </w:r>
    </w:p>
    <w:p w14:paraId="0191697B" w14:textId="77777777" w:rsidR="00271A77" w:rsidRPr="00271A77" w:rsidRDefault="00271A77" w:rsidP="00271A77">
      <w:pPr>
        <w:spacing w:after="100" w:line="259" w:lineRule="auto"/>
        <w:ind w:left="77" w:right="0" w:firstLine="631"/>
        <w:jc w:val="left"/>
      </w:pPr>
      <w:r w:rsidRPr="00271A77">
        <w:t xml:space="preserve"> Oprocentowanie danej oferty (%)</w:t>
      </w:r>
    </w:p>
    <w:p w14:paraId="4288400B" w14:textId="77777777" w:rsidR="00271A77" w:rsidRPr="00271A77" w:rsidRDefault="00271A77" w:rsidP="00271A77">
      <w:pPr>
        <w:spacing w:after="100" w:line="259" w:lineRule="auto"/>
        <w:ind w:left="77" w:right="0" w:firstLine="0"/>
        <w:jc w:val="left"/>
      </w:pPr>
      <w:r w:rsidRPr="00271A77">
        <w:t>Uwaga – Zamawiający nie dopuszcza możliwości pobierania prowizji i opłat od zaangażowania kredytu w rachunku bieżącym tj. od salda niewykorzystanej części kredytu.</w:t>
      </w:r>
    </w:p>
    <w:p w14:paraId="000DADDC" w14:textId="03A7ECD5" w:rsidR="00271A77" w:rsidRPr="00214BC8" w:rsidRDefault="00271A77" w:rsidP="00271A77">
      <w:pPr>
        <w:spacing w:after="100" w:line="259" w:lineRule="auto"/>
        <w:ind w:left="77" w:right="0" w:firstLine="0"/>
        <w:rPr>
          <w:rFonts w:asciiTheme="minorHAnsi" w:hAnsiTheme="minorHAnsi" w:cstheme="minorHAnsi"/>
          <w:color w:val="auto"/>
          <w:lang w:bidi="en-US"/>
        </w:rPr>
      </w:pPr>
      <w:r w:rsidRPr="00271A77">
        <w:t>3.</w:t>
      </w:r>
      <w:r w:rsidRPr="00271A77">
        <w:tab/>
      </w:r>
      <w:r w:rsidRPr="00271A77">
        <w:rPr>
          <w:rFonts w:asciiTheme="minorHAnsi" w:hAnsiTheme="minorHAnsi" w:cstheme="minorHAnsi"/>
        </w:rPr>
        <w:t xml:space="preserve">Do wyliczenia kosztów obsługi kredytu każdej oferty oraz do wyliczenia oprocentowania środków na rachunkach bieżących i </w:t>
      </w:r>
      <w:r w:rsidRPr="00214BC8">
        <w:rPr>
          <w:rFonts w:asciiTheme="minorHAnsi" w:hAnsiTheme="minorHAnsi" w:cstheme="minorHAnsi"/>
          <w:color w:val="auto"/>
        </w:rPr>
        <w:t xml:space="preserve">pomocniczych Zamawiający przyjmie stawkę WIBOR 3M / WIBID 1M zgodne z notowaniami zamieszczonymi na stronie </w:t>
      </w:r>
      <w:hyperlink r:id="rId36" w:history="1">
        <w:r w:rsidRPr="00214BC8">
          <w:rPr>
            <w:rStyle w:val="Hipercze"/>
            <w:rFonts w:asciiTheme="minorHAnsi" w:hAnsiTheme="minorHAnsi" w:cstheme="minorHAnsi"/>
            <w:color w:val="auto"/>
            <w:lang w:bidi="en-US"/>
          </w:rPr>
          <w:t>www.bankier.pl</w:t>
        </w:r>
      </w:hyperlink>
      <w:r w:rsidRPr="00214BC8">
        <w:rPr>
          <w:rFonts w:asciiTheme="minorHAnsi" w:hAnsiTheme="minorHAnsi" w:cstheme="minorHAnsi"/>
          <w:color w:val="auto"/>
          <w:lang w:bidi="en-US"/>
        </w:rPr>
        <w:t xml:space="preserve"> oraz </w:t>
      </w:r>
      <w:hyperlink r:id="rId37" w:history="1">
        <w:r w:rsidRPr="00214BC8">
          <w:rPr>
            <w:rStyle w:val="Hipercze"/>
            <w:rFonts w:asciiTheme="minorHAnsi" w:hAnsiTheme="minorHAnsi" w:cstheme="minorHAnsi"/>
            <w:color w:val="auto"/>
            <w:lang w:bidi="en-US"/>
          </w:rPr>
          <w:t>www.money.pl</w:t>
        </w:r>
      </w:hyperlink>
      <w:r w:rsidRPr="00214BC8">
        <w:rPr>
          <w:rFonts w:asciiTheme="minorHAnsi" w:hAnsiTheme="minorHAnsi" w:cstheme="minorHAnsi"/>
          <w:color w:val="auto"/>
          <w:lang w:bidi="en-US"/>
        </w:rPr>
        <w:t xml:space="preserve">  z dnia </w:t>
      </w:r>
      <w:r w:rsidR="00214BC8" w:rsidRPr="00214BC8">
        <w:rPr>
          <w:rFonts w:asciiTheme="minorHAnsi" w:hAnsiTheme="minorHAnsi" w:cstheme="minorHAnsi"/>
          <w:color w:val="auto"/>
          <w:lang w:bidi="en-US"/>
        </w:rPr>
        <w:t>09.02.</w:t>
      </w:r>
      <w:r w:rsidRPr="00214BC8">
        <w:rPr>
          <w:rFonts w:asciiTheme="minorHAnsi" w:hAnsiTheme="minorHAnsi" w:cstheme="minorHAnsi"/>
          <w:color w:val="auto"/>
          <w:lang w:bidi="en-US"/>
        </w:rPr>
        <w:t>202</w:t>
      </w:r>
      <w:r w:rsidR="00214BC8" w:rsidRPr="00214BC8">
        <w:rPr>
          <w:rFonts w:asciiTheme="minorHAnsi" w:hAnsiTheme="minorHAnsi" w:cstheme="minorHAnsi"/>
          <w:color w:val="auto"/>
          <w:lang w:bidi="en-US"/>
        </w:rPr>
        <w:t>4</w:t>
      </w:r>
      <w:r w:rsidRPr="00214BC8">
        <w:rPr>
          <w:rFonts w:asciiTheme="minorHAnsi" w:hAnsiTheme="minorHAnsi" w:cstheme="minorHAnsi"/>
          <w:color w:val="auto"/>
          <w:lang w:bidi="en-US"/>
        </w:rPr>
        <w:t xml:space="preserve"> r.</w:t>
      </w:r>
    </w:p>
    <w:p w14:paraId="0F279F69" w14:textId="77777777" w:rsidR="00271A77" w:rsidRPr="00271A77" w:rsidRDefault="00271A77" w:rsidP="00271A77">
      <w:pPr>
        <w:spacing w:after="100" w:line="259" w:lineRule="auto"/>
        <w:ind w:left="77" w:right="0" w:firstLine="0"/>
        <w:rPr>
          <w:rFonts w:asciiTheme="minorHAnsi" w:hAnsiTheme="minorHAnsi" w:cstheme="minorHAnsi"/>
        </w:rPr>
      </w:pPr>
      <w:r w:rsidRPr="00271A77">
        <w:rPr>
          <w:rFonts w:asciiTheme="minorHAnsi" w:hAnsiTheme="minorHAnsi" w:cstheme="minorHAnsi"/>
        </w:rPr>
        <w:t>Do wyliczenia kosztów oferty zamawiający przyjmie, że kredyt w rachunku bieżącym wykorzystywany jest przez 90 dni w roku, rok liczy 365 dni.</w:t>
      </w:r>
    </w:p>
    <w:p w14:paraId="0506FBB4" w14:textId="718DDCC2" w:rsidR="00271A77" w:rsidRPr="00271A77" w:rsidRDefault="00B208DA" w:rsidP="00271A77">
      <w:pPr>
        <w:pStyle w:val="Akapitzlist"/>
        <w:numPr>
          <w:ilvl w:val="0"/>
          <w:numId w:val="25"/>
        </w:numPr>
        <w:spacing w:after="100" w:line="259" w:lineRule="auto"/>
        <w:ind w:right="0"/>
        <w:rPr>
          <w:rFonts w:asciiTheme="minorHAnsi" w:hAnsiTheme="minorHAnsi" w:cstheme="minorHAnsi"/>
          <w:sz w:val="22"/>
        </w:rPr>
      </w:pPr>
      <w:r w:rsidRPr="00271A77">
        <w:rPr>
          <w:rFonts w:asciiTheme="minorHAnsi" w:hAnsiTheme="minorHAnsi" w:cstheme="minorHAnsi"/>
          <w:sz w:val="22"/>
        </w:rPr>
        <w:t xml:space="preserve">Oferty będą oceniane przez komisję przetargową metodą punktową w skali 100-punktowej. </w:t>
      </w:r>
    </w:p>
    <w:p w14:paraId="3A22CC56" w14:textId="77777777" w:rsidR="00271A77" w:rsidRPr="00271A77" w:rsidRDefault="00B208DA" w:rsidP="00271A77">
      <w:pPr>
        <w:pStyle w:val="Akapitzlist"/>
        <w:numPr>
          <w:ilvl w:val="0"/>
          <w:numId w:val="25"/>
        </w:numPr>
        <w:spacing w:after="100" w:line="259" w:lineRule="auto"/>
        <w:ind w:right="0"/>
        <w:rPr>
          <w:rFonts w:asciiTheme="minorHAnsi" w:hAnsiTheme="minorHAnsi" w:cstheme="minorHAnsi"/>
          <w:sz w:val="22"/>
        </w:rPr>
      </w:pPr>
      <w:r w:rsidRPr="00271A77">
        <w:rPr>
          <w:rFonts w:asciiTheme="minorHAnsi" w:hAnsiTheme="minorHAnsi" w:cstheme="minorHAnsi"/>
          <w:sz w:val="22"/>
        </w:rPr>
        <w:t xml:space="preserve">Punktacja przyznawana ofertom w poszczególnych kryteriach oceny ofert będzie liczona z dokładnością do dwóch miejsc po przecinku, zgodnie z zasadami arytmetyki. </w:t>
      </w:r>
    </w:p>
    <w:p w14:paraId="613371CF" w14:textId="77777777" w:rsidR="00271A77" w:rsidRDefault="00B208DA" w:rsidP="00271A77">
      <w:pPr>
        <w:pStyle w:val="Akapitzlist"/>
        <w:numPr>
          <w:ilvl w:val="0"/>
          <w:numId w:val="25"/>
        </w:numPr>
        <w:spacing w:after="100" w:line="259" w:lineRule="auto"/>
        <w:ind w:right="0"/>
        <w:rPr>
          <w:rFonts w:asciiTheme="minorHAnsi" w:hAnsiTheme="minorHAnsi" w:cstheme="minorHAnsi"/>
          <w:sz w:val="22"/>
        </w:rPr>
      </w:pPr>
      <w:r w:rsidRPr="00271A77">
        <w:rPr>
          <w:rFonts w:asciiTheme="minorHAnsi" w:hAnsiTheme="minorHAnsi" w:cstheme="minorHAnsi"/>
          <w:sz w:val="22"/>
        </w:rPr>
        <w:t xml:space="preserve">W toku badania i oceny ofert Zamawiający może żądać od Wykonawcy wyjaśnień dotyczących treści złożonej oferty, w tym zaoferowanej ceny. </w:t>
      </w:r>
    </w:p>
    <w:p w14:paraId="3CBB1942" w14:textId="2638842D" w:rsidR="00EC2759" w:rsidRPr="00271A77" w:rsidRDefault="00B208DA" w:rsidP="00271A77">
      <w:pPr>
        <w:pStyle w:val="Akapitzlist"/>
        <w:numPr>
          <w:ilvl w:val="0"/>
          <w:numId w:val="25"/>
        </w:numPr>
        <w:spacing w:after="100" w:line="259" w:lineRule="auto"/>
        <w:ind w:right="0"/>
        <w:rPr>
          <w:rFonts w:asciiTheme="minorHAnsi" w:hAnsiTheme="minorHAnsi" w:cstheme="minorHAnsi"/>
          <w:sz w:val="22"/>
        </w:rPr>
      </w:pPr>
      <w:r w:rsidRPr="00271A77">
        <w:rPr>
          <w:rFonts w:asciiTheme="minorHAnsi" w:hAnsiTheme="minorHAnsi" w:cstheme="minorHAnsi"/>
        </w:rPr>
        <w:t xml:space="preserve">Zamawiający udzieli zamówienia Wykonawcy, którego oferta zostanie uznana za najkorzystniejszą. </w:t>
      </w:r>
    </w:p>
    <w:p w14:paraId="70C4C314" w14:textId="77777777" w:rsidR="00EC2759" w:rsidRDefault="00B208DA" w:rsidP="00271A77">
      <w:pPr>
        <w:spacing w:line="259" w:lineRule="auto"/>
        <w:ind w:left="77" w:right="0" w:firstLine="0"/>
      </w:pPr>
      <w:r>
        <w:rPr>
          <w:b/>
        </w:rPr>
        <w:t xml:space="preserve"> </w:t>
      </w:r>
    </w:p>
    <w:p w14:paraId="477CC8C2" w14:textId="77777777"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p>
    <w:p w14:paraId="192E82EF" w14:textId="77777777" w:rsidR="00EC2759" w:rsidRDefault="00B208DA">
      <w:pPr>
        <w:numPr>
          <w:ilvl w:val="0"/>
          <w:numId w:val="19"/>
        </w:numPr>
        <w:ind w:right="187" w:hanging="360"/>
      </w:pPr>
      <w:r>
        <w:t xml:space="preserve">Wybrany wykonawca ma obowiązek w terminie 5 dni od momentu powiadomienia go o wybraniu oferty uzgodnić z Zamawiającym kwestie konieczne do sprawnego zawarcia umowy. </w:t>
      </w:r>
    </w:p>
    <w:p w14:paraId="2861D71A" w14:textId="7C5D8CBF" w:rsidR="00EC2759" w:rsidRDefault="00B208DA">
      <w:pPr>
        <w:numPr>
          <w:ilvl w:val="0"/>
          <w:numId w:val="19"/>
        </w:numPr>
        <w:ind w:right="187" w:hanging="360"/>
      </w:pPr>
      <w:r>
        <w:t xml:space="preserve">Umowa musi uwzględniać zapisy zawarte w Istotnych postanowieniach umowy, stanowiących </w:t>
      </w:r>
      <w:r>
        <w:rPr>
          <w:b/>
        </w:rPr>
        <w:t xml:space="preserve">załącznik nr </w:t>
      </w:r>
      <w:r w:rsidR="002B09E4">
        <w:rPr>
          <w:b/>
        </w:rPr>
        <w:t>7</w:t>
      </w:r>
      <w:r>
        <w:rPr>
          <w:b/>
        </w:rPr>
        <w:t xml:space="preserve"> do SWZ. </w:t>
      </w:r>
    </w:p>
    <w:p w14:paraId="4C85D6D6" w14:textId="77777777" w:rsidR="00EC2759" w:rsidRDefault="00B208DA">
      <w:pPr>
        <w:numPr>
          <w:ilvl w:val="0"/>
          <w:numId w:val="19"/>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pPr>
        <w:numPr>
          <w:ilvl w:val="0"/>
          <w:numId w:val="19"/>
        </w:numPr>
        <w:ind w:right="187" w:hanging="360"/>
      </w:pPr>
      <w:r>
        <w:lastRenderedPageBreak/>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pPr>
        <w:numPr>
          <w:ilvl w:val="0"/>
          <w:numId w:val="19"/>
        </w:numPr>
        <w:ind w:right="187" w:hanging="360"/>
      </w:pPr>
      <w:r>
        <w:t xml:space="preserve">Wykonawca będzie zobowiązany do podpisania umowy w miejscu i terminie wskazanym przez Zamawiającego. </w:t>
      </w:r>
    </w:p>
    <w:p w14:paraId="25C81DB3" w14:textId="77777777" w:rsidR="00EC2759" w:rsidRDefault="00B208DA">
      <w:pPr>
        <w:numPr>
          <w:ilvl w:val="0"/>
          <w:numId w:val="19"/>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pPr>
        <w:numPr>
          <w:ilvl w:val="1"/>
          <w:numId w:val="19"/>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pPr>
        <w:numPr>
          <w:ilvl w:val="1"/>
          <w:numId w:val="19"/>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pPr>
        <w:numPr>
          <w:ilvl w:val="0"/>
          <w:numId w:val="19"/>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6C798473" w14:textId="77777777" w:rsidR="00EC2759" w:rsidRDefault="00B208DA">
      <w:pPr>
        <w:spacing w:after="20" w:line="259" w:lineRule="auto"/>
        <w:ind w:left="77" w:right="0" w:firstLine="0"/>
        <w:jc w:val="left"/>
      </w:pPr>
      <w:r>
        <w:rPr>
          <w:b/>
          <w:sz w:val="24"/>
        </w:rPr>
        <w:t xml:space="preserve"> </w:t>
      </w:r>
    </w:p>
    <w:p w14:paraId="0CDB1F80" w14:textId="77777777" w:rsidR="00EC2759" w:rsidRDefault="00B208DA">
      <w:pPr>
        <w:spacing w:after="12"/>
        <w:ind w:left="72" w:right="185"/>
      </w:pPr>
      <w:r>
        <w:rPr>
          <w:b/>
          <w:sz w:val="24"/>
        </w:rPr>
        <w:t xml:space="preserve">Rozdział XXII </w:t>
      </w:r>
    </w:p>
    <w:p w14:paraId="4D541E62" w14:textId="77777777" w:rsidR="00EC2759" w:rsidRDefault="00B208DA">
      <w:pPr>
        <w:pStyle w:val="Nagwek2"/>
        <w:spacing w:after="111"/>
        <w:ind w:left="72" w:right="183"/>
      </w:pPr>
      <w:r>
        <w:t xml:space="preserve">Wymagania dotyczące zabezpieczenia należytego wykonania umowy </w:t>
      </w:r>
    </w:p>
    <w:p w14:paraId="2F1E67E0" w14:textId="77777777" w:rsidR="00EC2759" w:rsidRDefault="00B208DA">
      <w:pPr>
        <w:ind w:left="93" w:right="187"/>
      </w:pPr>
      <w:r>
        <w:t xml:space="preserve">Zamawiający nie wymaga wniesienia zabezpieczenia należytego wykonania umowy.  </w:t>
      </w:r>
    </w:p>
    <w:p w14:paraId="3C83C0C9" w14:textId="77777777" w:rsidR="00EC2759" w:rsidRDefault="00B208DA">
      <w:pPr>
        <w:spacing w:after="20" w:line="259" w:lineRule="auto"/>
        <w:ind w:left="77" w:right="0" w:firstLine="0"/>
        <w:jc w:val="left"/>
      </w:pPr>
      <w:r>
        <w:rPr>
          <w:b/>
          <w:sz w:val="24"/>
        </w:rPr>
        <w:t xml:space="preserve"> </w:t>
      </w:r>
    </w:p>
    <w:p w14:paraId="2587B2A4" w14:textId="77777777" w:rsidR="00EC2759" w:rsidRDefault="00B208DA">
      <w:pPr>
        <w:pStyle w:val="Nagwek3"/>
        <w:spacing w:after="139"/>
        <w:ind w:left="72" w:right="185"/>
      </w:pPr>
      <w:r>
        <w:t xml:space="preserve">Rozdział XXIII Informacja o postanowieniach umowy w sprawie zamówienia publicznego, które zostaną wprowadzone do treści tej umowy oraz możliwości jej zmiany </w:t>
      </w:r>
    </w:p>
    <w:p w14:paraId="61DD0C53" w14:textId="697FE8D0" w:rsidR="00EC2759" w:rsidRDefault="00B208DA">
      <w:pPr>
        <w:numPr>
          <w:ilvl w:val="0"/>
          <w:numId w:val="20"/>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2B09E4">
        <w:rPr>
          <w:b/>
        </w:rPr>
        <w:t>7</w:t>
      </w:r>
      <w:r>
        <w:rPr>
          <w:b/>
        </w:rPr>
        <w:t xml:space="preserve"> do SWZ.</w:t>
      </w:r>
      <w:r>
        <w:t xml:space="preserve"> </w:t>
      </w:r>
    </w:p>
    <w:p w14:paraId="782EC8AE" w14:textId="77777777" w:rsidR="00EC2759" w:rsidRDefault="00B208DA">
      <w:pPr>
        <w:numPr>
          <w:ilvl w:val="0"/>
          <w:numId w:val="20"/>
        </w:numPr>
        <w:ind w:right="187" w:hanging="360"/>
      </w:pPr>
      <w:r>
        <w:t xml:space="preserve">Zakres świadczenia Wykonawcy wynikający z umowy jest tożsamy z jego zobowiązaniem zawartym w ofercie. </w:t>
      </w:r>
    </w:p>
    <w:p w14:paraId="35D5B711" w14:textId="221E5054" w:rsidR="00EC2759" w:rsidRDefault="00B208DA">
      <w:pPr>
        <w:numPr>
          <w:ilvl w:val="0"/>
          <w:numId w:val="20"/>
        </w:numPr>
        <w:ind w:right="187" w:hanging="360"/>
      </w:pPr>
      <w:r>
        <w:t xml:space="preserve">Zamawiający przewiduje możliwość zmiany zawartej umowy w stosunku do treści wybranej oferty w zakresie uregulowanym w art. 454-455 ustawy </w:t>
      </w:r>
      <w:proofErr w:type="spellStart"/>
      <w:r>
        <w:t>Pzp</w:t>
      </w:r>
      <w:proofErr w:type="spellEnd"/>
      <w:r>
        <w:t xml:space="preserve"> oraz Istotnych postanowieniach umowy stanowiących </w:t>
      </w:r>
      <w:r>
        <w:rPr>
          <w:b/>
        </w:rPr>
        <w:t xml:space="preserve">Załącznik nr </w:t>
      </w:r>
      <w:r w:rsidR="002B09E4">
        <w:rPr>
          <w:b/>
        </w:rPr>
        <w:t>7</w:t>
      </w:r>
      <w:r>
        <w:rPr>
          <w:b/>
        </w:rPr>
        <w:t xml:space="preserve"> do SWZ. </w:t>
      </w:r>
    </w:p>
    <w:p w14:paraId="62DCEAC1" w14:textId="77777777" w:rsidR="00EC2759" w:rsidRDefault="00B208DA">
      <w:pPr>
        <w:numPr>
          <w:ilvl w:val="0"/>
          <w:numId w:val="20"/>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t>Rozdział XXIV</w:t>
      </w:r>
      <w:r>
        <w:rPr>
          <w:color w:val="00000A"/>
        </w:rPr>
        <w:t xml:space="preserve"> </w:t>
      </w:r>
    </w:p>
    <w:p w14:paraId="27557B0A" w14:textId="77777777"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dziale IX ustawy </w:t>
      </w:r>
      <w:proofErr w:type="spellStart"/>
      <w:r>
        <w:t>Pzp</w:t>
      </w:r>
      <w:proofErr w:type="spellEnd"/>
      <w:r>
        <w:t xml:space="preserve">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lastRenderedPageBreak/>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676F1495" w14:textId="77777777" w:rsidR="00EC2759" w:rsidRDefault="00B208DA">
      <w:pPr>
        <w:numPr>
          <w:ilvl w:val="0"/>
          <w:numId w:val="21"/>
        </w:numPr>
        <w:spacing w:after="41" w:line="269" w:lineRule="auto"/>
        <w:ind w:right="187" w:hanging="360"/>
      </w:pPr>
      <w:r>
        <w:rPr>
          <w:color w:val="000000"/>
        </w:rPr>
        <w:t>Formularz ofertowy (</w:t>
      </w:r>
      <w:r>
        <w:rPr>
          <w:b/>
          <w:color w:val="000000"/>
        </w:rPr>
        <w:t>załącznik nr 1 do SWZ</w:t>
      </w:r>
      <w:r>
        <w:rPr>
          <w:color w:val="000000"/>
        </w:rPr>
        <w:t xml:space="preserve">), </w:t>
      </w:r>
    </w:p>
    <w:p w14:paraId="2B758A06" w14:textId="77777777" w:rsidR="00EC2759" w:rsidRDefault="00B208DA">
      <w:pPr>
        <w:numPr>
          <w:ilvl w:val="0"/>
          <w:numId w:val="21"/>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pPr>
        <w:numPr>
          <w:ilvl w:val="0"/>
          <w:numId w:val="21"/>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229AC689" w14:textId="16D977E4" w:rsidR="00EC2759" w:rsidRDefault="00B208DA">
      <w:pPr>
        <w:numPr>
          <w:ilvl w:val="0"/>
          <w:numId w:val="21"/>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26BF2F9E" w14:textId="7E2CD0FD" w:rsidR="00EC2759" w:rsidRDefault="00B208DA">
      <w:pPr>
        <w:numPr>
          <w:ilvl w:val="0"/>
          <w:numId w:val="21"/>
        </w:numPr>
        <w:spacing w:after="41" w:line="269" w:lineRule="auto"/>
        <w:ind w:right="187" w:hanging="360"/>
      </w:pPr>
      <w:r>
        <w:rPr>
          <w:color w:val="000000"/>
        </w:rPr>
        <w:t>Szczegółowy opis przedmiotu zamówienia (</w:t>
      </w:r>
      <w:r>
        <w:rPr>
          <w:b/>
          <w:color w:val="000000"/>
        </w:rPr>
        <w:t xml:space="preserve">załącznik nr </w:t>
      </w:r>
      <w:r w:rsidR="002B09E4">
        <w:rPr>
          <w:b/>
          <w:color w:val="000000"/>
        </w:rPr>
        <w:t>5</w:t>
      </w:r>
      <w:r>
        <w:rPr>
          <w:b/>
          <w:color w:val="000000"/>
        </w:rPr>
        <w:t xml:space="preserve"> do SWZ</w:t>
      </w:r>
      <w:r>
        <w:rPr>
          <w:color w:val="000000"/>
        </w:rPr>
        <w:t>),</w:t>
      </w:r>
      <w:r>
        <w:t xml:space="preserve"> </w:t>
      </w:r>
    </w:p>
    <w:p w14:paraId="0F927C92" w14:textId="6195A1A8" w:rsidR="00EC2759" w:rsidRDefault="00B208DA">
      <w:pPr>
        <w:numPr>
          <w:ilvl w:val="0"/>
          <w:numId w:val="21"/>
        </w:numPr>
        <w:ind w:right="187" w:hanging="360"/>
      </w:pPr>
      <w:r>
        <w:t>Wykaz jednostek objętych przedmiotem zamówienia (</w:t>
      </w:r>
      <w:r>
        <w:rPr>
          <w:b/>
        </w:rPr>
        <w:t xml:space="preserve">załącznik nr </w:t>
      </w:r>
      <w:r w:rsidR="002B09E4">
        <w:rPr>
          <w:b/>
        </w:rPr>
        <w:t>6</w:t>
      </w:r>
      <w:r>
        <w:rPr>
          <w:b/>
        </w:rPr>
        <w:t xml:space="preserve"> do SWZ</w:t>
      </w:r>
      <w:r>
        <w:t xml:space="preserve">), </w:t>
      </w:r>
    </w:p>
    <w:p w14:paraId="01C19B0D" w14:textId="569341A2" w:rsidR="00EC2759" w:rsidRDefault="00B208DA">
      <w:pPr>
        <w:numPr>
          <w:ilvl w:val="0"/>
          <w:numId w:val="21"/>
        </w:numPr>
        <w:ind w:right="187" w:hanging="360"/>
      </w:pPr>
      <w:r>
        <w:t>Istotne postanowienia umowy (</w:t>
      </w:r>
      <w:r>
        <w:rPr>
          <w:b/>
        </w:rPr>
        <w:t xml:space="preserve">załącznik nr </w:t>
      </w:r>
      <w:r w:rsidR="002B09E4">
        <w:rPr>
          <w:b/>
        </w:rPr>
        <w:t>7</w:t>
      </w:r>
      <w:r>
        <w:rPr>
          <w:b/>
        </w:rPr>
        <w:t xml:space="preserve"> do SWZ</w:t>
      </w:r>
      <w:r>
        <w:t xml:space="preserve">), </w:t>
      </w:r>
    </w:p>
    <w:p w14:paraId="2C0317D9" w14:textId="56139B02" w:rsidR="00EC2759" w:rsidRDefault="00B208DA" w:rsidP="00B208DA">
      <w:pPr>
        <w:spacing w:after="41" w:line="269" w:lineRule="auto"/>
        <w:ind w:left="667" w:right="187" w:firstLine="0"/>
      </w:pPr>
      <w:r>
        <w:rPr>
          <w:color w:val="000000"/>
        </w:rPr>
        <w:t xml:space="preserve"> </w:t>
      </w:r>
    </w:p>
    <w:sectPr w:rsidR="00EC2759">
      <w:footerReference w:type="even" r:id="rId38"/>
      <w:footerReference w:type="default" r:id="rId39"/>
      <w:footerReference w:type="first" r:id="rId40"/>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2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252EE7"/>
    <w:multiLevelType w:val="hybridMultilevel"/>
    <w:tmpl w:val="050E5332"/>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72042EE">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862493"/>
    <w:multiLevelType w:val="hybridMultilevel"/>
    <w:tmpl w:val="93327EB4"/>
    <w:lvl w:ilvl="0" w:tplc="5724621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E8F156">
      <w:start w:val="5"/>
      <w:numFmt w:val="decimal"/>
      <w:lvlText w:val="%2)"/>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5C86B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688C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2A513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821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AFD9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A6932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C6B73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5F52CB"/>
    <w:multiLevelType w:val="hybridMultilevel"/>
    <w:tmpl w:val="FF54D2F0"/>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0D169C"/>
    <w:multiLevelType w:val="hybridMultilevel"/>
    <w:tmpl w:val="481A9B2C"/>
    <w:lvl w:ilvl="0" w:tplc="6E36A60E">
      <w:start w:val="4"/>
      <w:numFmt w:val="decimal"/>
      <w:lvlText w:val="%1."/>
      <w:lvlJc w:val="left"/>
      <w:pPr>
        <w:ind w:left="0" w:firstLine="0"/>
      </w:pPr>
      <w:rPr>
        <w:rFonts w:ascii="Calibri" w:eastAsia="Calibri" w:hAnsi="Calibri" w:cs="Calibri" w:hint="default"/>
        <w:b w:val="0"/>
        <w:i w:val="0"/>
        <w:strike w:val="0"/>
        <w:dstrike w:val="0"/>
        <w:color w:val="00000A"/>
        <w:sz w:val="22"/>
        <w:szCs w:val="22"/>
        <w:u w:val="none" w:color="000000"/>
        <w:vertAlign w:val="baseline"/>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11"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2"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2E5001B9"/>
    <w:multiLevelType w:val="hybridMultilevel"/>
    <w:tmpl w:val="7E9463E4"/>
    <w:lvl w:ilvl="0" w:tplc="BA4EBD48">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F60EEC">
      <w:start w:val="1"/>
      <w:numFmt w:val="decimal"/>
      <w:lvlText w:val="%2)"/>
      <w:lvlJc w:val="left"/>
      <w:pPr>
        <w:ind w:left="864"/>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DEB8C970">
      <w:start w:val="1"/>
      <w:numFmt w:val="lowerLetter"/>
      <w:lvlText w:val="%3)"/>
      <w:lvlJc w:val="left"/>
      <w:pPr>
        <w:ind w:left="12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4BE4C926">
      <w:start w:val="1"/>
      <w:numFmt w:val="decimal"/>
      <w:lvlText w:val="%4"/>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71380072">
      <w:start w:val="1"/>
      <w:numFmt w:val="lowerLetter"/>
      <w:lvlText w:val="%5"/>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5756D594">
      <w:start w:val="1"/>
      <w:numFmt w:val="lowerRoman"/>
      <w:lvlText w:val="%6"/>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FB83B38">
      <w:start w:val="1"/>
      <w:numFmt w:val="decimal"/>
      <w:lvlText w:val="%7"/>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2BFA8C3C">
      <w:start w:val="1"/>
      <w:numFmt w:val="lowerLetter"/>
      <w:lvlText w:val="%8"/>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5450D82C">
      <w:start w:val="1"/>
      <w:numFmt w:val="lowerRoman"/>
      <w:lvlText w:val="%9"/>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5"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95D6C78"/>
    <w:multiLevelType w:val="hybridMultilevel"/>
    <w:tmpl w:val="0D106C62"/>
    <w:lvl w:ilvl="0" w:tplc="4CFA826A">
      <w:start w:val="1"/>
      <w:numFmt w:val="decimal"/>
      <w:lvlText w:val="%1."/>
      <w:lvlJc w:val="left"/>
      <w:pPr>
        <w:ind w:left="44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84F8848E">
      <w:start w:val="1"/>
      <w:numFmt w:val="lowerLetter"/>
      <w:lvlText w:val="%2"/>
      <w:lvlJc w:val="left"/>
      <w:pPr>
        <w:ind w:left="11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C8B09D86">
      <w:start w:val="1"/>
      <w:numFmt w:val="lowerRoman"/>
      <w:lvlText w:val="%3"/>
      <w:lvlJc w:val="left"/>
      <w:pPr>
        <w:ind w:left="18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9948F022">
      <w:start w:val="1"/>
      <w:numFmt w:val="decimal"/>
      <w:lvlText w:val="%4"/>
      <w:lvlJc w:val="left"/>
      <w:pPr>
        <w:ind w:left="25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A56D1E4">
      <w:start w:val="1"/>
      <w:numFmt w:val="lowerLetter"/>
      <w:lvlText w:val="%5"/>
      <w:lvlJc w:val="left"/>
      <w:pPr>
        <w:ind w:left="327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0422532">
      <w:start w:val="1"/>
      <w:numFmt w:val="lowerRoman"/>
      <w:lvlText w:val="%6"/>
      <w:lvlJc w:val="left"/>
      <w:pPr>
        <w:ind w:left="399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6B681084">
      <w:start w:val="1"/>
      <w:numFmt w:val="decimal"/>
      <w:lvlText w:val="%7"/>
      <w:lvlJc w:val="left"/>
      <w:pPr>
        <w:ind w:left="471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E96DE36">
      <w:start w:val="1"/>
      <w:numFmt w:val="lowerLetter"/>
      <w:lvlText w:val="%8"/>
      <w:lvlJc w:val="left"/>
      <w:pPr>
        <w:ind w:left="543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EF83BEE">
      <w:start w:val="1"/>
      <w:numFmt w:val="lowerRoman"/>
      <w:lvlText w:val="%9"/>
      <w:lvlJc w:val="left"/>
      <w:pPr>
        <w:ind w:left="6152"/>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43844FF2"/>
    <w:multiLevelType w:val="multilevel"/>
    <w:tmpl w:val="90BC1BD8"/>
    <w:lvl w:ilvl="0">
      <w:start w:val="1"/>
      <w:numFmt w:val="decimal"/>
      <w:lvlText w:val="%1."/>
      <w:lvlJc w:val="left"/>
      <w:pPr>
        <w:ind w:left="465" w:hanging="465"/>
      </w:pPr>
      <w:rPr>
        <w:rFonts w:hint="default"/>
      </w:rPr>
    </w:lvl>
    <w:lvl w:ilvl="1">
      <w:start w:val="1"/>
      <w:numFmt w:val="decimal"/>
      <w:lvlText w:val="%1.%2."/>
      <w:lvlJc w:val="left"/>
      <w:pPr>
        <w:ind w:left="717" w:hanging="7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1776" w:hanging="1800"/>
      </w:pPr>
      <w:rPr>
        <w:rFonts w:hint="default"/>
      </w:rPr>
    </w:lvl>
  </w:abstractNum>
  <w:abstractNum w:abstractNumId="19"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B70DB7"/>
    <w:multiLevelType w:val="hybridMultilevel"/>
    <w:tmpl w:val="AE381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5"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6" w15:restartNumberingAfterBreak="0">
    <w:nsid w:val="68374A78"/>
    <w:multiLevelType w:val="hybridMultilevel"/>
    <w:tmpl w:val="57C8FF5E"/>
    <w:lvl w:ilvl="0" w:tplc="5E6E17E2">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18E7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A34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64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A8A6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676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E0DA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14F8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478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8"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num w:numId="1" w16cid:durableId="617756187">
    <w:abstractNumId w:val="8"/>
  </w:num>
  <w:num w:numId="2" w16cid:durableId="248272693">
    <w:abstractNumId w:val="6"/>
  </w:num>
  <w:num w:numId="3" w16cid:durableId="1693265017">
    <w:abstractNumId w:val="22"/>
  </w:num>
  <w:num w:numId="4" w16cid:durableId="623729877">
    <w:abstractNumId w:val="5"/>
  </w:num>
  <w:num w:numId="5" w16cid:durableId="680743568">
    <w:abstractNumId w:val="26"/>
  </w:num>
  <w:num w:numId="6" w16cid:durableId="320622733">
    <w:abstractNumId w:val="2"/>
  </w:num>
  <w:num w:numId="7" w16cid:durableId="1495217345">
    <w:abstractNumId w:val="4"/>
  </w:num>
  <w:num w:numId="8" w16cid:durableId="331186017">
    <w:abstractNumId w:val="12"/>
  </w:num>
  <w:num w:numId="9" w16cid:durableId="701828148">
    <w:abstractNumId w:val="27"/>
  </w:num>
  <w:num w:numId="10" w16cid:durableId="673068596">
    <w:abstractNumId w:val="1"/>
  </w:num>
  <w:num w:numId="11" w16cid:durableId="1199048881">
    <w:abstractNumId w:val="21"/>
  </w:num>
  <w:num w:numId="12" w16cid:durableId="1560555566">
    <w:abstractNumId w:val="11"/>
  </w:num>
  <w:num w:numId="13" w16cid:durableId="1058944197">
    <w:abstractNumId w:val="24"/>
  </w:num>
  <w:num w:numId="14" w16cid:durableId="2022930456">
    <w:abstractNumId w:val="17"/>
  </w:num>
  <w:num w:numId="15" w16cid:durableId="328680888">
    <w:abstractNumId w:val="16"/>
  </w:num>
  <w:num w:numId="16" w16cid:durableId="2019578175">
    <w:abstractNumId w:val="25"/>
  </w:num>
  <w:num w:numId="17" w16cid:durableId="1027753263">
    <w:abstractNumId w:val="28"/>
  </w:num>
  <w:num w:numId="18" w16cid:durableId="78916158">
    <w:abstractNumId w:val="13"/>
  </w:num>
  <w:num w:numId="19" w16cid:durableId="2095468790">
    <w:abstractNumId w:val="23"/>
  </w:num>
  <w:num w:numId="20" w16cid:durableId="862667678">
    <w:abstractNumId w:val="14"/>
  </w:num>
  <w:num w:numId="21" w16cid:durableId="257179204">
    <w:abstractNumId w:val="19"/>
  </w:num>
  <w:num w:numId="22" w16cid:durableId="1204443731">
    <w:abstractNumId w:val="3"/>
  </w:num>
  <w:num w:numId="23" w16cid:durableId="1191795960">
    <w:abstractNumId w:val="18"/>
  </w:num>
  <w:num w:numId="24" w16cid:durableId="1275406160">
    <w:abstractNumId w:val="20"/>
  </w:num>
  <w:num w:numId="25" w16cid:durableId="1991246451">
    <w:abstractNumId w:val="10"/>
  </w:num>
  <w:num w:numId="26" w16cid:durableId="215943620">
    <w:abstractNumId w:val="7"/>
  </w:num>
  <w:num w:numId="27" w16cid:durableId="711998215">
    <w:abstractNumId w:val="9"/>
  </w:num>
  <w:num w:numId="28" w16cid:durableId="914901621">
    <w:abstractNumId w:val="15"/>
  </w:num>
  <w:num w:numId="29" w16cid:durableId="208984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75625"/>
    <w:rsid w:val="00113E63"/>
    <w:rsid w:val="001342C1"/>
    <w:rsid w:val="00214BC8"/>
    <w:rsid w:val="002346C8"/>
    <w:rsid w:val="00240E66"/>
    <w:rsid w:val="00271A77"/>
    <w:rsid w:val="002B09E4"/>
    <w:rsid w:val="002B15E9"/>
    <w:rsid w:val="003B7C8C"/>
    <w:rsid w:val="004279B2"/>
    <w:rsid w:val="00477B30"/>
    <w:rsid w:val="00490E57"/>
    <w:rsid w:val="00580595"/>
    <w:rsid w:val="005A0E7B"/>
    <w:rsid w:val="005B1EF9"/>
    <w:rsid w:val="005F4117"/>
    <w:rsid w:val="00605438"/>
    <w:rsid w:val="0060547B"/>
    <w:rsid w:val="006102EB"/>
    <w:rsid w:val="006A29FC"/>
    <w:rsid w:val="00734302"/>
    <w:rsid w:val="00782AC8"/>
    <w:rsid w:val="007B2194"/>
    <w:rsid w:val="007D7641"/>
    <w:rsid w:val="007E4621"/>
    <w:rsid w:val="00885ECA"/>
    <w:rsid w:val="00957A17"/>
    <w:rsid w:val="009E680B"/>
    <w:rsid w:val="00AA0780"/>
    <w:rsid w:val="00AB74CB"/>
    <w:rsid w:val="00B208DA"/>
    <w:rsid w:val="00B6421E"/>
    <w:rsid w:val="00B80780"/>
    <w:rsid w:val="00C80EEB"/>
    <w:rsid w:val="00C92589"/>
    <w:rsid w:val="00C93B57"/>
    <w:rsid w:val="00CA065E"/>
    <w:rsid w:val="00D032E5"/>
    <w:rsid w:val="00D326A2"/>
    <w:rsid w:val="00DD7FB5"/>
    <w:rsid w:val="00DE65A0"/>
    <w:rsid w:val="00E16B38"/>
    <w:rsid w:val="00E17A55"/>
    <w:rsid w:val="00E4076D"/>
    <w:rsid w:val="00E43CC4"/>
    <w:rsid w:val="00E66906"/>
    <w:rsid w:val="00EA5307"/>
    <w:rsid w:val="00EC2759"/>
    <w:rsid w:val="00F673D7"/>
    <w:rsid w:val="00FF737A"/>
    <w:rsid w:val="00FF7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nexus.pl/" TargetMode="External"/><Relationship Id="rId24" Type="http://schemas.openxmlformats.org/officeDocument/2006/relationships/hyperlink" Target="https://platformazakupowa.pl/pn/ug_leczyca"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money.pl"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um_lomza" TargetMode="External"/><Relationship Id="rId28" Type="http://schemas.openxmlformats.org/officeDocument/2006/relationships/hyperlink" Target="http://platformazakupowa.pl/" TargetMode="External"/><Relationship Id="rId36" Type="http://schemas.openxmlformats.org/officeDocument/2006/relationships/hyperlink" Target="http://www.bankier.pl" TargetMode="External"/><Relationship Id="rId10" Type="http://schemas.openxmlformats.org/officeDocument/2006/relationships/hyperlink" Target="https://opennexus.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opennexus.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hyperlink" Target="mailto:iod@gminaleczyca.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8197-2BA7-4FC7-852E-32AC1F5F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9790</Words>
  <Characters>58746</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9</cp:revision>
  <cp:lastPrinted>2024-02-01T08:40:00Z</cp:lastPrinted>
  <dcterms:created xsi:type="dcterms:W3CDTF">2024-02-12T22:27:00Z</dcterms:created>
  <dcterms:modified xsi:type="dcterms:W3CDTF">2024-03-08T11:41:00Z</dcterms:modified>
</cp:coreProperties>
</file>