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670" w14:textId="5CFF413B" w:rsidR="002E3999" w:rsidRPr="00D6200B" w:rsidRDefault="007A0A20" w:rsidP="003553CE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b/>
          <w:bCs/>
          <w:kern w:val="2"/>
          <w:sz w:val="24"/>
          <w:szCs w:val="24"/>
        </w:rPr>
        <w:t>OPIS PRZEDMIOTU ZAMÓWIENIA</w:t>
      </w:r>
    </w:p>
    <w:p w14:paraId="6C424A55" w14:textId="77777777" w:rsidR="00E919C5" w:rsidRPr="00D6200B" w:rsidRDefault="00E919C5" w:rsidP="00D6200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0AE2637" w14:textId="042D45ED" w:rsidR="00E919C5" w:rsidRPr="003553CE" w:rsidRDefault="007D541D" w:rsidP="003553CE">
      <w:pPr>
        <w:pStyle w:val="Akapitzlist"/>
        <w:numPr>
          <w:ilvl w:val="0"/>
          <w:numId w:val="24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 w:bidi="pl-PL"/>
        </w:rPr>
        <w:t xml:space="preserve"> PRZEDMIOT OPRACOWANIA </w:t>
      </w:r>
    </w:p>
    <w:p w14:paraId="27C8D1E1" w14:textId="239901BA" w:rsidR="00872921" w:rsidRPr="00D6200B" w:rsidRDefault="002E3999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Przedmiotem opracowania jest </w:t>
      </w:r>
      <w:bookmarkStart w:id="0" w:name="_Hlk69243275"/>
      <w:r w:rsidR="009F5F49"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budowa </w:t>
      </w:r>
      <w:r w:rsidR="00872921"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i przebudowa sieci kanalizacji deszczowej o średnicy 800mm o długości 532m z przebudową sieci kanalizacji sanitarnej dn500 o długości 37m, przebudową sieci wodociągowej z rur dn225 Sdr11 RC wraz z przyłączami oraz kanalizację deszczową z rur dn200-400 PVC Sn12 litych.</w:t>
      </w:r>
    </w:p>
    <w:p w14:paraId="1A001925" w14:textId="77777777" w:rsidR="003C6974" w:rsidRPr="00D6200B" w:rsidRDefault="003C6974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418E075E" w14:textId="166E0576" w:rsidR="003C6974" w:rsidRPr="003553CE" w:rsidRDefault="00872921" w:rsidP="003553CE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Stan istniejący działek</w:t>
      </w:r>
    </w:p>
    <w:p w14:paraId="4F6509C7" w14:textId="00BD8A94" w:rsidR="00872921" w:rsidRPr="00D6200B" w:rsidRDefault="00872921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Przedmiotowe działki: 592/5, 1295/15, 1522/1, 1522/2, 1524/2, 1524/4, 1572/6, 1572/7, 1572/8, 1572/10, 1573, 1588/2, 1600/1, 1601, 1602, 1606, 1607, 1609/2, 1626, 1627/5, 1627/7, 1627/8 są częściowo ogrodzone, na terenie inwestycji znajdują się obiekty kubaturowe. Teren działki płasko-pagórkowaty. Na terenie działek brak zieleni kolidującej z projektowanym obiektem. Inwestycja zlokalizowana na działkach prywatnych gminnych oraz inne.</w:t>
      </w:r>
    </w:p>
    <w:p w14:paraId="0279F2B0" w14:textId="77777777" w:rsidR="003C6974" w:rsidRPr="00D6200B" w:rsidRDefault="003C6974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4A7E8037" w14:textId="071B178C" w:rsidR="003C6974" w:rsidRPr="003553CE" w:rsidRDefault="00872921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Projektowane zagospodarowanie działki</w:t>
      </w:r>
    </w:p>
    <w:p w14:paraId="75134B83" w14:textId="4991B0D9" w:rsidR="00872921" w:rsidRPr="00D6200B" w:rsidRDefault="00872921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Na działkach 592/5, 1295/15, 1522/1, 1522/2, 1524/2, 1524/4, 1572/6, 1572/7, 1572/8, 1572/10, 1573, 1588/2, 1600/1, 1601, 1602, 1606, 1607, 1609/2, 1626, 1627/5, 1627/7, 1627/8 buduje i przebudowuje się kanalizację w celu poprawy odbioru wód opadowych i roztopowych. Projektowana sieć będzie przebiegać przez działki gminne, prywatne oraz inne.</w:t>
      </w:r>
    </w:p>
    <w:p w14:paraId="753A4FB8" w14:textId="7777777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3E386435" w14:textId="294359B8" w:rsidR="009136A6" w:rsidRPr="003553CE" w:rsidRDefault="00872921" w:rsidP="003553CE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Projektowane ukształtowanie terenu</w:t>
      </w:r>
    </w:p>
    <w:p w14:paraId="79DDDCE7" w14:textId="4EF491D3" w:rsidR="00521540" w:rsidRPr="00D6200B" w:rsidRDefault="00872921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Projektowane ukształtowanie terenu nie zmieni się, zostanie odtworzone.</w:t>
      </w:r>
    </w:p>
    <w:p w14:paraId="178B1AA1" w14:textId="77777777" w:rsidR="00521540" w:rsidRPr="00D6200B" w:rsidRDefault="00521540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5B6E4A5B" w14:textId="77777777" w:rsidR="003553CE" w:rsidRPr="003553CE" w:rsidRDefault="00872921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Zestawienie powierzchni</w:t>
      </w:r>
    </w:p>
    <w:p w14:paraId="73348086" w14:textId="1272DBFE" w:rsidR="00872921" w:rsidRPr="003553CE" w:rsidRDefault="00872921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Przebudowywana kanalizacja jest urządzeniem liniowym podziemnym. Pod jego realizację nie zachodzi potrzeba wykupu powierzchni jak również zmiany dotychczasowego użytkowania terenu.</w:t>
      </w:r>
    </w:p>
    <w:p w14:paraId="7FD2298B" w14:textId="3007B44F" w:rsidR="009136A6" w:rsidRPr="00D6200B" w:rsidRDefault="009136A6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lastRenderedPageBreak/>
        <w:t>Dane dotyczące zabytków</w:t>
      </w:r>
    </w:p>
    <w:p w14:paraId="3C90AA0A" w14:textId="7777777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Teren przeznaczony na inwestycję jest objęty ochroną konserwatorską wynikającą z ustawy dnia 23 lipca r. o ochronie zabytków i opiece nad zabytkami.</w:t>
      </w:r>
    </w:p>
    <w:p w14:paraId="14D814E2" w14:textId="7777777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Na trasie projektowanej inwestycji nie występują obiekty wpisane do rejestru zabytków.</w:t>
      </w:r>
    </w:p>
    <w:p w14:paraId="40A5CE03" w14:textId="7777777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Wszystkie prace należy wykonać zgodnie z wydanym pozwoleniem konserwatorskim.</w:t>
      </w:r>
    </w:p>
    <w:p w14:paraId="038E9BDD" w14:textId="7777777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33DD0D80" w14:textId="1E61BE51" w:rsidR="009136A6" w:rsidRPr="00D6200B" w:rsidRDefault="009136A6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Dane dotyczące działalności górniczej</w:t>
      </w:r>
    </w:p>
    <w:p w14:paraId="425BBB1F" w14:textId="6A02C1DC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Na terenie objętym projektem budowy kanalizacji nie występują tereny eksploatowane górniczo.</w:t>
      </w:r>
    </w:p>
    <w:p w14:paraId="06D416C7" w14:textId="7777777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54266303" w14:textId="2CB8AA0F" w:rsidR="009136A6" w:rsidRPr="00D6200B" w:rsidRDefault="009136A6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Zagrożenie dla środowiska</w:t>
      </w:r>
    </w:p>
    <w:p w14:paraId="5FB14041" w14:textId="23350E83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Projektowana sieć nie wpłynie negatywnie na stan środowiska. Projektowana sieć zapewni odbiór ścieków co poprawi jakość środowiska. Inwestycja nie jest przedsięwzięciem wymienionym w Rozporządzeniu Rady Ministrów z dnia 10 września 2019 r. w sprawie przedsięwzięć mogących znacząco oddziaływać na środowisko (Dz. U. 2019 poz. 1839). Projektowane sieci nie będą stwarzać uciążliwości, jedynie w trakcie robót budowlanych związanych z ich wykonaniem. Obszar ograniczonego użytkowania mieści się w granicach działek na których zostały zaprojektowane. Inwestycja leży na Obszarze Chronionego Krajobrazu Pogórza Ciężkowickiego. Najbliżej położone obszary Natura 2000 leżą w odległości ok. 1km (Biała Tarnowska). Inwestycja nie będzie miała wpływu na ewentualne zakłócenia w działaniu tych obszarów.</w:t>
      </w:r>
    </w:p>
    <w:p w14:paraId="457A7B2D" w14:textId="77777777" w:rsidR="00716E2C" w:rsidRPr="00D6200B" w:rsidRDefault="00716E2C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2DFAF979" w14:textId="51E4D5D2" w:rsidR="009136A6" w:rsidRPr="00D6200B" w:rsidRDefault="009136A6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Warunki gruntowe – posadowienie budynku</w:t>
      </w:r>
    </w:p>
    <w:p w14:paraId="1041541A" w14:textId="62751275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Stwierdza się II kat. geotechniczną dla posadowienia obiektu liniowego. Szczegółowa analiza </w:t>
      </w:r>
      <w:r w:rsidR="00716E2C"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znajduje się projekcie budowlanym.</w:t>
      </w:r>
    </w:p>
    <w:p w14:paraId="4051F51C" w14:textId="77777777" w:rsidR="00716E2C" w:rsidRPr="00D6200B" w:rsidRDefault="00716E2C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35442550" w14:textId="29AF3CB5" w:rsidR="009136A6" w:rsidRPr="00D6200B" w:rsidRDefault="009136A6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Warunki ochrony przeciwpożarowej</w:t>
      </w:r>
    </w:p>
    <w:p w14:paraId="12584CED" w14:textId="2E3F0353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Nie stawia się warunków</w:t>
      </w:r>
    </w:p>
    <w:p w14:paraId="426F5A66" w14:textId="77777777" w:rsidR="00716E2C" w:rsidRPr="00D6200B" w:rsidRDefault="00716E2C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608BD1EC" w14:textId="5ADEF267" w:rsidR="009136A6" w:rsidRPr="00D6200B" w:rsidRDefault="009136A6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lastRenderedPageBreak/>
        <w:t>Dodatkowe informacji</w:t>
      </w:r>
    </w:p>
    <w:p w14:paraId="555EEA84" w14:textId="20C43967" w:rsidR="009136A6" w:rsidRPr="00D6200B" w:rsidRDefault="009136A6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Warunki i wymagania kształtowania ładu przestrzennego zgodnie z Miejscowym Planem Zagospodarowania Przestrzennego Gminy i Miasta Tuchów Uchwała nr XLIII/330/2014, Uchwała nr LVI/393/2018.</w:t>
      </w:r>
    </w:p>
    <w:p w14:paraId="22DAED2D" w14:textId="77777777" w:rsidR="00716E2C" w:rsidRPr="00D6200B" w:rsidRDefault="00716E2C" w:rsidP="00D6200B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40DB1D3C" w14:textId="482DC930" w:rsidR="00E77416" w:rsidRDefault="00E77416" w:rsidP="003553CE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ind w:left="426" w:right="-11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ZAKRES</w:t>
      </w:r>
    </w:p>
    <w:p w14:paraId="1F8C02CB" w14:textId="77777777" w:rsidR="003553CE" w:rsidRPr="00D6200B" w:rsidRDefault="003553CE" w:rsidP="003553CE">
      <w:pPr>
        <w:pStyle w:val="Akapitzlist"/>
        <w:tabs>
          <w:tab w:val="left" w:pos="567"/>
        </w:tabs>
        <w:suppressAutoHyphens/>
        <w:spacing w:after="0" w:line="360" w:lineRule="auto"/>
        <w:ind w:left="426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29C44EA6" w14:textId="77777777" w:rsidR="003553CE" w:rsidRDefault="00B84D71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 xml:space="preserve">KOD CPV: </w:t>
      </w:r>
    </w:p>
    <w:p w14:paraId="77FB3C93" w14:textId="5EA9C28F" w:rsidR="003553CE" w:rsidRDefault="00871AF7" w:rsidP="003553CE">
      <w:pPr>
        <w:pStyle w:val="Akapitzlist"/>
        <w:numPr>
          <w:ilvl w:val="0"/>
          <w:numId w:val="26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45231300-8</w:t>
      </w:r>
    </w:p>
    <w:p w14:paraId="1A1759DB" w14:textId="73196F23" w:rsidR="003553CE" w:rsidRDefault="00871AF7" w:rsidP="003553CE">
      <w:pPr>
        <w:pStyle w:val="Akapitzlist"/>
        <w:numPr>
          <w:ilvl w:val="0"/>
          <w:numId w:val="26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45232150-8</w:t>
      </w:r>
    </w:p>
    <w:p w14:paraId="2F4BC968" w14:textId="63E7E737" w:rsidR="00E77416" w:rsidRDefault="00871AF7" w:rsidP="003553CE">
      <w:pPr>
        <w:pStyle w:val="Akapitzlist"/>
        <w:numPr>
          <w:ilvl w:val="0"/>
          <w:numId w:val="26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45232410-9</w:t>
      </w:r>
    </w:p>
    <w:p w14:paraId="529E23CA" w14:textId="77777777" w:rsidR="003553CE" w:rsidRPr="003553CE" w:rsidRDefault="003553CE" w:rsidP="003553CE">
      <w:pPr>
        <w:pStyle w:val="Akapitzlist"/>
        <w:suppressAutoHyphens/>
        <w:spacing w:after="0" w:line="360" w:lineRule="auto"/>
        <w:ind w:left="1440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309D9B94" w14:textId="2FB6368C" w:rsidR="00880B72" w:rsidRPr="00D6200B" w:rsidRDefault="00880B72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Rozwiązania budowlane i techniczno-instalacyjne</w:t>
      </w:r>
    </w:p>
    <w:p w14:paraId="29665123" w14:textId="113B6166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Sieć kanalizacji deszczowej o średnicy 800mm SN12. Sieć kanalizacji projektuje i przebudowuje się w związku ze złym stanem technicznym oraz niskiej przepustowości. Na trasie sieci kanalizacji deszczowej projektuje się studnie betonowe prefabrykowane dn1000-1500 C35/45 W10 z uszczelką, przejściami szczelnymi oraz stopniami żeliwnymi. Dodatkowo należy połączyć kręgi masą betonową. W ulicy Wróblewskiego wymienia się studnie betonowe zwieńczone samopoziomującym włazem kanałowym Dn600mm z żeliwa szarego z zawiasem z wypełnieniem betonowym i wkładką amortyzującą typu ciężkiego D400. Dodatkowo w projektuje się odwodnienie ulicy Wróblewskiego kanałem dn200-400 studniami dn1000 o parametrach jak wyżej wraz z wpustami żeliwnymi ulicznymi (klasa d400) i studniami osadnikowymi (osadnik 80cm) dn500 oraz odwodnieniem liniowymi d400 z wpustem żeliwnym. W zakresie robót należy wykonać przekładkę kanalizacji sanitarnej dn500 oraz wodociąg dn225. Włazy lokalizować należy w osi jednego pasa ruchu. Przekroczenie drogi powiatowej projektuje się poprzez wykonanie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przecisku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w rurze ochronnej. Roboty należy wykonać zgodnie z wydanymi warunkami. Wszystkie roboty należy wykonywać temperaturze min.5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st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C.</w:t>
      </w:r>
    </w:p>
    <w:p w14:paraId="2E142E84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5543736C" w14:textId="71E8887D" w:rsidR="00880B72" w:rsidRPr="00D6200B" w:rsidRDefault="00880B72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lastRenderedPageBreak/>
        <w:t>Roboty ziemne</w:t>
      </w:r>
    </w:p>
    <w:p w14:paraId="4DD425D3" w14:textId="0CD2EABD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Pod rurociągi projektuje się wykop o szerokości 1,2-1,8m z umocnieniem ścian wykopu, a także odcinkami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bezwykopowo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. Głębokość montażu przewodów 2-3,5m miejscami do 4m. Przy lokalizacji rurociągów w bliskich odległościach od ogrodzeń, skrzyżowań z istniejącymi kablami energetycznymi i telekomunikacyjnymi doziemnymi, skrzyżowań z istniejącymi rurociągami sieci gazowe projektuje się wykopy o ścianach</w:t>
      </w:r>
      <w:r w:rsid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</w:t>
      </w: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pionowych ubezpieczonych przez deskowanie ażurowe. Wszystkie roboty w obrębie innej infrastruktury podziemnej należy wykonywać ręcznie. Należy wykonywać kanalizację krótkimi odcinkami 3-6m następnie dokładnie zasypać i zagęścić do stanu pierwotnego.</w:t>
      </w:r>
    </w:p>
    <w:p w14:paraId="48A1537D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5EBBF64D" w14:textId="7AAA7A14" w:rsidR="00880B72" w:rsidRPr="00D6200B" w:rsidRDefault="00880B72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Roboty montażowe</w:t>
      </w:r>
    </w:p>
    <w:p w14:paraId="6BE4E254" w14:textId="51599204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Należy zwracać uwagę na montaż rur i studzienek. Wszystkie roboty montażowe wykonać zgodnie z zaleceniami producenta systemu. Rurociągi i studnie dokładnie obsypać i zagęścić do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Is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=1. Podsypkę i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obsypkę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wykonać z materiałów sypkich dobrze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zagęszczalnych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- piasku. Należy przewidzieć pracę na czynnym rurociągu zapewniając przepompowywanie ścieków.</w:t>
      </w:r>
    </w:p>
    <w:p w14:paraId="74437E6A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46CBA21B" w14:textId="272F61BE" w:rsidR="00880B72" w:rsidRPr="00D6200B" w:rsidRDefault="00880B72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Skrzyżowania z inną infrastrukturą</w:t>
      </w:r>
    </w:p>
    <w:p w14:paraId="0D16CDBD" w14:textId="4FADD8FA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Na trasie projektowanych rurociągów występują skrzyżowania z istniejącymi kablami, gazociągami oraz inną infrastrukturą podziemną. Przed przystąpieniem do robót ziemnych i montażowych należy wyznaczyć miejsca skrzyżowań i kolizji. Roboty w tym obrębie projektuje się wykonywać ręcznie po uprzednim zlokalizowaniu i pod nadzorem jej administratora. Rurociągi w miejscach skrzyżowań montowane będą w wykopach o ścianach pionowych ubezpieczonych deskowaniem ażurowym. Rurociągi montowane będą montowane w bezpiecznej odległości kabli min. 0,2m od skrajnych. W przypadku uszkodzenia oznaczenia uzupełnić oznakowanie taśmą ostrzegawczą. Zasyp wykopu w miejscu skrzyżowań ręcznie z zagęszczeniem gruntu w zasypie ubijakami mechanicznymi. W przypadku skrzyżowań z innymi sieciami należy postępować tak samo. Przed rozpoczęciem robót należy zapoznać się z aktualną mapą do celów projektowych. Wszystkie kolizje należy muszą być odebrane przed </w:t>
      </w: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lastRenderedPageBreak/>
        <w:t>zasypaniem przez zarządców/właścicieli sieci w formie protokołu. Roboty wykonywać zgodnie z uwagami protokołu narady koordynacyjnej.</w:t>
      </w:r>
    </w:p>
    <w:p w14:paraId="5B69CE5A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</w:p>
    <w:p w14:paraId="3EDF7CAA" w14:textId="10B74EA9" w:rsidR="00880B72" w:rsidRPr="00D6200B" w:rsidRDefault="00880B72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Roboty w zakresie odtworzenia drogi</w:t>
      </w:r>
    </w:p>
    <w:p w14:paraId="75064E41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1EBE57A8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 obszarze odtworzenia stanu istniejącego należy zastosować się do wytycznych wydanych decyzji zarządców dróg, po zakończeniu robót należy odtworzyć zniszczoną drogę na całej szerokości i długości jezdni zgodnie ze schematem jak dla KR3 :</w:t>
      </w:r>
    </w:p>
    <w:p w14:paraId="07358FF7" w14:textId="44828254" w:rsidR="00880B72" w:rsidRPr="00D6200B" w:rsidRDefault="00880B72" w:rsidP="003553CE">
      <w:pPr>
        <w:pStyle w:val="Akapitzlist"/>
        <w:numPr>
          <w:ilvl w:val="0"/>
          <w:numId w:val="29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warstwa ścieralna z betonu asfaltowego gr. 5 cm,</w:t>
      </w:r>
    </w:p>
    <w:p w14:paraId="2CE0B898" w14:textId="3C205B1F" w:rsidR="00880B72" w:rsidRPr="00D6200B" w:rsidRDefault="00880B72" w:rsidP="003553CE">
      <w:pPr>
        <w:pStyle w:val="Akapitzlist"/>
        <w:numPr>
          <w:ilvl w:val="0"/>
          <w:numId w:val="29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proofErr w:type="spellStart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geosiatka</w:t>
      </w:r>
      <w:proofErr w:type="spellEnd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z włókien szklano-węglowych o wytrzymałości na rozciąganie 100/200 </w:t>
      </w:r>
      <w:proofErr w:type="spellStart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kN</w:t>
      </w:r>
      <w:proofErr w:type="spellEnd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/m podłużnie/poprzecznie,</w:t>
      </w:r>
    </w:p>
    <w:p w14:paraId="44166C18" w14:textId="40548DF4" w:rsidR="00880B72" w:rsidRPr="00D6200B" w:rsidRDefault="00880B72" w:rsidP="003553CE">
      <w:pPr>
        <w:pStyle w:val="Akapitzlist"/>
        <w:numPr>
          <w:ilvl w:val="0"/>
          <w:numId w:val="29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warstwa wiążąca z betonu asfaltowego gr. 6 cm,</w:t>
      </w:r>
    </w:p>
    <w:p w14:paraId="2B3DBC7F" w14:textId="06D68D61" w:rsidR="00880B72" w:rsidRPr="00D6200B" w:rsidRDefault="00880B72" w:rsidP="003553CE">
      <w:pPr>
        <w:pStyle w:val="Akapitzlist"/>
        <w:numPr>
          <w:ilvl w:val="0"/>
          <w:numId w:val="29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podbudowa zasadnicza z betonu asfaltowego gr. 7cm,</w:t>
      </w:r>
    </w:p>
    <w:p w14:paraId="7A751D90" w14:textId="6FFA7D81" w:rsidR="00880B72" w:rsidRPr="00D6200B" w:rsidRDefault="00880B72" w:rsidP="003553CE">
      <w:pPr>
        <w:pStyle w:val="Akapitzlist"/>
        <w:numPr>
          <w:ilvl w:val="0"/>
          <w:numId w:val="29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podbudowa pomocnicza z kruszywa łamanego stabilizowanego mechanicznie</w:t>
      </w:r>
    </w:p>
    <w:p w14:paraId="79FC1DD0" w14:textId="77777777" w:rsidR="00880B72" w:rsidRPr="00D6200B" w:rsidRDefault="00880B72" w:rsidP="003553CE">
      <w:pPr>
        <w:pStyle w:val="Akapitzlist"/>
        <w:numPr>
          <w:ilvl w:val="0"/>
          <w:numId w:val="29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lub tłucznia kamiennego gr. 40 cm.</w:t>
      </w:r>
    </w:p>
    <w:p w14:paraId="5810A22E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– wykop do wysokości podbudowy należy zasypać materiałem sypkim łatwo </w:t>
      </w:r>
      <w:proofErr w:type="spellStart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zagęszczalnym</w:t>
      </w:r>
      <w:proofErr w:type="spellEnd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,</w:t>
      </w:r>
    </w:p>
    <w:p w14:paraId="112AB507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Przed wykonaniem nawierzchni z betonu asfaltowego należy przedłożyć wyniki badań potwierdzające wymagany stopień/wskaźnik zagęszczenia podbudowy celem akceptacji przez Zarządcę drogi, (min. 1 pkt. na 50mb),</w:t>
      </w:r>
    </w:p>
    <w:p w14:paraId="2E6F79C1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Uszkodzone elementy betonowe chodnika należy odbudować do stanu pierwotnego z materiałów nowych, w technologii jak istniejąca – zalecane konstrukcje nawierzchni chodnika do odbudowy:</w:t>
      </w:r>
    </w:p>
    <w:p w14:paraId="059E9B09" w14:textId="471B38C7" w:rsidR="00880B72" w:rsidRPr="00D6200B" w:rsidRDefault="00880B72" w:rsidP="003553CE">
      <w:pPr>
        <w:pStyle w:val="Akapitzlist"/>
        <w:numPr>
          <w:ilvl w:val="1"/>
          <w:numId w:val="31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nawierzchnia z kostki betonowej gr. 6 cm (na zjazdach kostka gr. 8 cm) na podsypce cementowo-piaskowej,</w:t>
      </w:r>
    </w:p>
    <w:p w14:paraId="30AE6B68" w14:textId="2566D4A0" w:rsidR="00880B72" w:rsidRPr="00D6200B" w:rsidRDefault="00880B72" w:rsidP="003553CE">
      <w:pPr>
        <w:pStyle w:val="Akapitzlist"/>
        <w:numPr>
          <w:ilvl w:val="1"/>
          <w:numId w:val="31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podbudowa z kruszywa łamanego stabilizowanego mechanicznie lub tłucznia kamiennego gr. 40 cm,</w:t>
      </w:r>
    </w:p>
    <w:p w14:paraId="2E5B4508" w14:textId="0DF4FE51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- wykop do wysokości podbudowy należy zasypać materiałem sypkim łatwo </w:t>
      </w:r>
      <w:proofErr w:type="spellStart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zagęszczalnym</w:t>
      </w:r>
      <w:proofErr w:type="spellEnd"/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.</w:t>
      </w:r>
    </w:p>
    <w:p w14:paraId="0ACD0FB8" w14:textId="77777777" w:rsidR="00880B72" w:rsidRPr="00D6200B" w:rsidRDefault="00880B72" w:rsidP="00D6200B">
      <w:pPr>
        <w:pStyle w:val="Akapitzlist"/>
        <w:suppressAutoHyphens/>
        <w:spacing w:after="0" w:line="360" w:lineRule="auto"/>
        <w:ind w:left="720"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7E740BFC" w14:textId="2539E78E" w:rsidR="00880B72" w:rsidRPr="00D6200B" w:rsidRDefault="00880B72" w:rsidP="00D6200B">
      <w:pPr>
        <w:pStyle w:val="Akapitzlist"/>
        <w:numPr>
          <w:ilvl w:val="1"/>
          <w:numId w:val="24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Próby ciśnieniowe</w:t>
      </w:r>
    </w:p>
    <w:p w14:paraId="44FCB8B5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Szczegółowe wymagania i badania przewodów kanalizacyjnych określone są w PN-92/B- 10735. Wykonana kanalizacja powinna być sprawdzona wg następujących kryteriów:</w:t>
      </w:r>
    </w:p>
    <w:p w14:paraId="2E46E2D4" w14:textId="77777777" w:rsidR="00880B72" w:rsidRPr="00D6200B" w:rsidRDefault="00880B72" w:rsidP="003553CE">
      <w:pPr>
        <w:pStyle w:val="Akapitzlist"/>
        <w:numPr>
          <w:ilvl w:val="0"/>
          <w:numId w:val="32"/>
        </w:num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- zgodność z dokumentacją techniczną (materiał, średnice, spadki, izolacja, zasypka),</w:t>
      </w:r>
    </w:p>
    <w:p w14:paraId="7078A825" w14:textId="50D29012" w:rsidR="00880B72" w:rsidRPr="00D6200B" w:rsidRDefault="00880B72" w:rsidP="003553CE">
      <w:pPr>
        <w:pStyle w:val="Akapitzlist"/>
        <w:numPr>
          <w:ilvl w:val="0"/>
          <w:numId w:val="32"/>
        </w:numPr>
        <w:suppressAutoHyphens/>
        <w:spacing w:after="0" w:line="360" w:lineRule="auto"/>
        <w:ind w:left="709"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prawidłowość ułożenia przewodu,</w:t>
      </w:r>
    </w:p>
    <w:p w14:paraId="5FD77812" w14:textId="42CC8629" w:rsidR="00880B72" w:rsidRPr="00D6200B" w:rsidRDefault="003553CE" w:rsidP="003553CE">
      <w:pPr>
        <w:pStyle w:val="Akapitzlist"/>
        <w:numPr>
          <w:ilvl w:val="0"/>
          <w:numId w:val="32"/>
        </w:numPr>
        <w:suppressAutoHyphens/>
        <w:spacing w:after="0" w:line="360" w:lineRule="auto"/>
        <w:ind w:left="709"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s</w:t>
      </w:r>
      <w:r w:rsidR="00880B72"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zczelność kanału na infiltrację i </w:t>
      </w:r>
      <w:proofErr w:type="spellStart"/>
      <w:r w:rsidR="00880B72"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eksfiltrację</w:t>
      </w:r>
      <w:proofErr w:type="spellEnd"/>
      <w:r w:rsidR="00880B72" w:rsidRPr="00D6200B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,</w:t>
      </w:r>
    </w:p>
    <w:p w14:paraId="68262247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Sieć kanalizacyjną należy przepłukać, a następnie przeprowadzić próbę grawitacyjną na szczelność infiltracyjną oraz </w:t>
      </w:r>
      <w:proofErr w:type="spellStart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eksfiltracyjną</w:t>
      </w:r>
      <w:proofErr w:type="spellEnd"/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w czasie 30min. Rurociąg wodociągowy poddać próbie ciśnieniowej na 12bar oraz wykonać wymagane płukanie. Po pozytywnej próbie należy wykonać monitoring kanałów grawitacyjnych.</w:t>
      </w:r>
    </w:p>
    <w:p w14:paraId="19FDF289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Wszystkie roboty przed zasypaniem należy zgłosić późniejszemu eksploatatorowi.</w:t>
      </w:r>
    </w:p>
    <w:p w14:paraId="3E4E2519" w14:textId="77777777" w:rsidR="00880B72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Uwagi:</w:t>
      </w:r>
    </w:p>
    <w:p w14:paraId="35C55861" w14:textId="56F1F3D1" w:rsidR="00E77416" w:rsidRPr="003553CE" w:rsidRDefault="00880B72" w:rsidP="003553CE">
      <w:pPr>
        <w:suppressAutoHyphens/>
        <w:spacing w:after="0" w:line="360" w:lineRule="auto"/>
        <w:ind w:right="-11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 w:rsidRPr="003553CE"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Wszystkie materiały do wybudowania sieci powinny spełniać Polskie Normy i być dopuszczone do obrotu zgodnie z Ustawą o wyrobach budowlanych w tym posiadać certyfikaty CE lub B Rury oraz studzienki powinny posiadać aktualne atesty higieniczne wydane przez Państwowy Zakład Higieny zapewniające bezpieczne dla zdrowia ludzi użytkowanie sieci. Przy wykonywaniu robót należy przestrzegać przepisy BHP, w szczególności zabezpieczyć wykopy poprzez umocnienie ścian oraz odgrodzenie i oznakowanie.</w:t>
      </w:r>
    </w:p>
    <w:bookmarkEnd w:id="0"/>
    <w:p w14:paraId="28F49CC8" w14:textId="4AD7E723" w:rsidR="00C85C12" w:rsidRPr="00D6200B" w:rsidRDefault="00C85C12" w:rsidP="00D6200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7CAF697" w14:textId="77ED7146" w:rsidR="0031293B" w:rsidRPr="003553CE" w:rsidRDefault="0031293B" w:rsidP="00D6200B">
      <w:pPr>
        <w:pStyle w:val="Akapitzlist"/>
        <w:numPr>
          <w:ilvl w:val="0"/>
          <w:numId w:val="24"/>
        </w:numPr>
        <w:suppressAutoHyphens/>
        <w:spacing w:after="0" w:line="360" w:lineRule="auto"/>
        <w:ind w:left="426" w:right="-1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r w:rsidRPr="00D6200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SZCZEGÓŁOWY ZAKRES ROBÓT</w:t>
      </w:r>
    </w:p>
    <w:p w14:paraId="6FCC373F" w14:textId="77777777" w:rsidR="002E3999" w:rsidRPr="00D6200B" w:rsidRDefault="002E3999" w:rsidP="00D6200B">
      <w:pPr>
        <w:pStyle w:val="Akapitzlist"/>
        <w:numPr>
          <w:ilvl w:val="1"/>
          <w:numId w:val="24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2993C80A" w14:textId="6428B9E0" w:rsidR="00C0476B" w:rsidRPr="00D6200B" w:rsidRDefault="002E3999" w:rsidP="00D6200B">
      <w:pPr>
        <w:pStyle w:val="Akapitzlist"/>
        <w:numPr>
          <w:ilvl w:val="1"/>
          <w:numId w:val="24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Wykonawca podejmujący się realizacji przedmiotu zamówienia będzie</w:t>
      </w:r>
      <w:r w:rsidR="007C2A33">
        <w:rPr>
          <w:rFonts w:asciiTheme="minorHAnsi" w:hAnsiTheme="minorHAnsi" w:cstheme="minorHAnsi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sz w:val="24"/>
          <w:szCs w:val="24"/>
        </w:rPr>
        <w:t>zobowiązany do:</w:t>
      </w:r>
    </w:p>
    <w:p w14:paraId="30E6F16E" w14:textId="77777777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lastRenderedPageBreak/>
        <w:t>poniesienia wszelkich kosztów związanych z wykonywania robót remontowo – budowlanych,</w:t>
      </w:r>
    </w:p>
    <w:p w14:paraId="3F3EA6B9" w14:textId="5FD8DF87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prowadzenia pomiarów kontrolnych i badań laboratoryjnych zgodnie z wymogami</w:t>
      </w:r>
      <w:r w:rsidR="007C2A33">
        <w:rPr>
          <w:rFonts w:asciiTheme="minorHAnsi" w:hAnsiTheme="minorHAnsi" w:cstheme="minorHAnsi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sz w:val="24"/>
          <w:szCs w:val="24"/>
        </w:rPr>
        <w:t>Specyfikacji Technicznych (ST),</w:t>
      </w:r>
      <w:bookmarkStart w:id="1" w:name="_Hlk525066998"/>
      <w:bookmarkEnd w:id="1"/>
    </w:p>
    <w:p w14:paraId="04070D73" w14:textId="77777777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 xml:space="preserve">sporządzenia protokołów odbioru robót zanikających i ulegających zakryciu, </w:t>
      </w:r>
    </w:p>
    <w:p w14:paraId="2A6F3284" w14:textId="30E01785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sporządzenia dokumentacji powykonawczej,</w:t>
      </w:r>
    </w:p>
    <w:p w14:paraId="1FF3160C" w14:textId="4D8AAFD6" w:rsidR="00A87549" w:rsidRPr="00D6200B" w:rsidRDefault="00A8754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sporządzenia projektu organizacji ruchu czasowy i stały, który podlegać będzie akceptacji przez Zamawiającego.</w:t>
      </w:r>
    </w:p>
    <w:p w14:paraId="3F58CA53" w14:textId="77777777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 xml:space="preserve">dostarczenia polisy ubezpieczeniowej, </w:t>
      </w:r>
    </w:p>
    <w:p w14:paraId="2C51FC8C" w14:textId="77777777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sporządzenia karty gwarancyjnej po wykonaniu przedmiotu umowy,</w:t>
      </w:r>
    </w:p>
    <w:p w14:paraId="770FC1ED" w14:textId="77777777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eastAsia="Times New Roman" w:hAnsiTheme="minorHAnsi" w:cstheme="minorHAnsi"/>
          <w:color w:val="000000"/>
          <w:sz w:val="24"/>
          <w:szCs w:val="24"/>
        </w:rPr>
        <w:t>sporządzenia kosztorysu powykonawczego z uwzględnieniem nazw wbudowanych materiałów i urządzeń,</w:t>
      </w:r>
    </w:p>
    <w:p w14:paraId="34EB66C5" w14:textId="1A7EEE5D" w:rsidR="00C0476B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przedstawienia i dostarczenia dokumentów dopuszczających do stosowania</w:t>
      </w:r>
      <w:r w:rsidR="007C2A33">
        <w:rPr>
          <w:rFonts w:asciiTheme="minorHAnsi" w:hAnsiTheme="minorHAnsi" w:cstheme="minorHAnsi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sz w:val="24"/>
          <w:szCs w:val="24"/>
        </w:rPr>
        <w:t xml:space="preserve">w budownictwie zastosowanych wyrobów i materiałów budowlanych. </w:t>
      </w:r>
    </w:p>
    <w:p w14:paraId="5F84C6EA" w14:textId="09D2AEF8" w:rsidR="002E3999" w:rsidRPr="00D6200B" w:rsidRDefault="002E3999" w:rsidP="003553CE">
      <w:pPr>
        <w:pStyle w:val="Akapitzlist"/>
        <w:numPr>
          <w:ilvl w:val="2"/>
          <w:numId w:val="24"/>
        </w:numPr>
        <w:spacing w:after="0" w:line="360" w:lineRule="auto"/>
        <w:ind w:left="1843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dostarczenia atestów i certyfikatów</w:t>
      </w:r>
      <w:r w:rsidR="007C2A33">
        <w:rPr>
          <w:rFonts w:asciiTheme="minorHAnsi" w:hAnsiTheme="minorHAnsi" w:cstheme="minorHAnsi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sz w:val="24"/>
          <w:szCs w:val="24"/>
        </w:rPr>
        <w:t>zgodności z Polską Normą lub aprobatą techniczną wbudowanych materiałów i urządzeń.</w:t>
      </w:r>
    </w:p>
    <w:p w14:paraId="03CFF732" w14:textId="75649FEA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przede wszystkim dokumentacje techniczną i specyfikację techniczną wykonania i odbioru robót budowlanych. </w:t>
      </w:r>
      <w:r w:rsidRPr="00D6200B">
        <w:rPr>
          <w:rFonts w:asciiTheme="minorHAnsi" w:hAnsiTheme="minorHAnsi" w:cstheme="minorHAnsi"/>
          <w:kern w:val="2"/>
          <w:sz w:val="24"/>
          <w:szCs w:val="24"/>
        </w:rPr>
        <w:t xml:space="preserve">Załączony przedmiar robót, jest </w:t>
      </w:r>
      <w:r w:rsidRPr="00D6200B">
        <w:rPr>
          <w:rFonts w:asciiTheme="minorHAnsi" w:hAnsiTheme="minorHAnsi" w:cstheme="minorHAnsi"/>
          <w:kern w:val="2"/>
          <w:sz w:val="24"/>
          <w:szCs w:val="24"/>
          <w:u w:val="single"/>
        </w:rPr>
        <w:t>materiałem pomocniczym</w:t>
      </w:r>
      <w:r w:rsidRPr="00D6200B">
        <w:rPr>
          <w:rFonts w:asciiTheme="minorHAnsi" w:hAnsiTheme="minorHAnsi" w:cstheme="minorHAnsi"/>
          <w:kern w:val="2"/>
          <w:sz w:val="24"/>
          <w:szCs w:val="24"/>
        </w:rPr>
        <w:t xml:space="preserve"> przy wycenie przedmiotu zamówienia. Oznacza to, że wskazane w nim zestawienia mają jedynie charakter pomocniczy i mają zobrazować skalę roboty remontowo-budowlanej a także pomóc Wykonawcom w oszacowaniu kosztów inwestycji, wobec czego przedmiarowi robót można przypisać wyłącznie charakter dokumentu pomocniczego (jest on opracowaniem wtórnym</w:t>
      </w:r>
      <w:r w:rsidR="007C2A33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kern w:val="2"/>
          <w:sz w:val="24"/>
          <w:szCs w:val="24"/>
        </w:rPr>
        <w:t xml:space="preserve">w stosunku do specyfikacji technicznych) i to nie on determinuje zakres prac objętych przedmiotem zamówienia. </w:t>
      </w:r>
    </w:p>
    <w:p w14:paraId="5C4AFA20" w14:textId="354F6389" w:rsidR="002E3999" w:rsidRPr="00D6200B" w:rsidRDefault="002E3999" w:rsidP="00D6200B">
      <w:pPr>
        <w:pStyle w:val="Akapitzlist"/>
        <w:widowControl w:val="0"/>
        <w:suppressAutoHyphens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Załączone przedmiary robót są więc materiałem orientacyjnym. Odpowiedzialność za</w:t>
      </w:r>
      <w:r w:rsidR="007C2A33">
        <w:rPr>
          <w:rFonts w:asciiTheme="minorHAnsi" w:hAnsiTheme="minorHAnsi" w:cstheme="minorHAnsi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sz w:val="24"/>
          <w:szCs w:val="24"/>
        </w:rPr>
        <w:t>korzystanie z treści przedmiaru robót ponosi Wykonawca.</w:t>
      </w:r>
    </w:p>
    <w:p w14:paraId="436A89F9" w14:textId="7CD676B3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</w:t>
      </w:r>
      <w:r w:rsidR="007C2A3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693BE1F5" w14:textId="0D615EC5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39585F4D" w14:textId="43BC4910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 w dokumentacji projektowej a zatem do wykonania robót należy użyć materiałów posiadających wymagane atesty i certyfikaty.</w:t>
      </w:r>
      <w:r w:rsidR="007C2A33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>Zgodnie z rozporządzeniem Parlamentu Europejskiego i Rady (UE) Nr 305/2011 z dnia</w:t>
      </w:r>
      <w:r w:rsidR="007C2A33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>9 marca 2011 r. ustanawiającego zharmonizowane warunki wprowadzania do obrotu</w:t>
      </w:r>
      <w:r w:rsidR="007C2A33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wyrobów budowlanych i uchylającego dyrektywę </w:t>
      </w:r>
      <w:r w:rsidRPr="00D6200B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Rady 89/106/EWG (Dz. Urz. UE L 88</w:t>
      </w:r>
      <w:r w:rsidR="007C2A33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6200B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z 04.04.2011, str. 5), zwanego dalej „rozporządzeniem Nr 305/2011” </w:t>
      </w: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>powinny one odpowiadać, co do jakości wymaganiom określonym ustawą z dnia 16 kwietnia 2004 r. o wyrobach budowlanych (t.</w:t>
      </w:r>
      <w:r w:rsidR="00FA77A3"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>j. Dz. U. z 2021 r. poz. 1213 oraz wymaganiom określonym w </w:t>
      </w:r>
      <w:proofErr w:type="spellStart"/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>STWiOR</w:t>
      </w:r>
      <w:proofErr w:type="spellEnd"/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>.</w:t>
      </w:r>
    </w:p>
    <w:p w14:paraId="0E4CEB03" w14:textId="014AD6DB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D6200B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37E083FE" w14:textId="7BE25711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</w:t>
      </w:r>
      <w:r w:rsidR="007C2A3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 budownictwie i zapewniających sprawność eksploatacyjną.</w:t>
      </w:r>
    </w:p>
    <w:p w14:paraId="3B348010" w14:textId="7A63B56A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bookmarkStart w:id="2" w:name="_Hlk80609976"/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Zamawiającego, natomiast uzyskane materiały pochodzące z rozbiórki i nawierzchni i ogrodzenia boiska zostaną</w:t>
      </w:r>
      <w:r w:rsidR="007C2A3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 dyspozycji Zamawiającego. Wykonawca zobowiązany jedynie będzie do ich transportu</w:t>
      </w:r>
      <w:r w:rsidR="007C2A3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 miejsce wskazane przez Zamawiającego.</w:t>
      </w:r>
      <w:bookmarkEnd w:id="2"/>
    </w:p>
    <w:p w14:paraId="6821C904" w14:textId="7CFDB7F3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odpowiedzialny będzie za całokształt, w tym za przebieg i terminowe wykonanie zamówienia, za jakość, zgodność z wymienionymi warunkami technicznymi </w:t>
      </w:r>
      <w:r w:rsidR="004F7064"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określonymi 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dla każdej części przedmiotu zamówienia.</w:t>
      </w:r>
    </w:p>
    <w:p w14:paraId="73298B2C" w14:textId="7B1D30B5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1BCD0655" w14:textId="3FE5A054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Wykonawca zobowiązany jest umieścić tablice informacyjne i ostrzegawcze w miejscu prowadzenia robót w tym tablice informacyjne </w:t>
      </w:r>
      <w:r w:rsidRPr="00D6200B">
        <w:rPr>
          <w:rFonts w:asciiTheme="minorHAnsi" w:hAnsiTheme="minorHAnsi" w:cstheme="minorHAnsi"/>
          <w:color w:val="auto"/>
          <w:sz w:val="24"/>
          <w:szCs w:val="24"/>
        </w:rPr>
        <w:t xml:space="preserve">o współfinansowaniu projektu </w:t>
      </w:r>
      <w:r w:rsidRPr="00D6200B">
        <w:rPr>
          <w:rFonts w:asciiTheme="minorHAnsi" w:hAnsiTheme="minorHAnsi" w:cstheme="minorHAnsi"/>
          <w:color w:val="auto"/>
          <w:sz w:val="24"/>
          <w:szCs w:val="24"/>
        </w:rPr>
        <w:lastRenderedPageBreak/>
        <w:t>ze środków budżetu Województwa Małopolskiego</w:t>
      </w:r>
      <w:r w:rsidRPr="00D6200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, </w:t>
      </w:r>
    </w:p>
    <w:p w14:paraId="64ECDFE7" w14:textId="6AA4A3B9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budowlanych.</w:t>
      </w:r>
    </w:p>
    <w:p w14:paraId="6E5685B2" w14:textId="128D2FEA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ponosi całkowitą odpowiedzialność za szkody powstałe i wynikłe na terenie budowy, od daty protokolarnego przejęcia placu budowy przez Wykonawcę, do daty protokolarnego oddania budowy (odbioru końcowego robót danej części).</w:t>
      </w:r>
    </w:p>
    <w:p w14:paraId="0853E345" w14:textId="043B8EC2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kern w:val="2"/>
          <w:sz w:val="24"/>
          <w:szCs w:val="24"/>
        </w:rPr>
        <w:t>Roboty budowlane prowadzone będą w obrębie budynku szkoły i istniejącego placu zabaw, w związku z tym Wykonawca zobowiązany jest zapewnić możliwość korzystania z tych obiektów osobom w nim przebywających i korzystających.</w:t>
      </w:r>
    </w:p>
    <w:p w14:paraId="15428D3C" w14:textId="799647CC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Wymaga się aby zgłoszony przez Wykonawcę kierownik budowy był obecny cały czas na budowie w trakcie wykonywania wszelkich prac budowlanych. </w:t>
      </w:r>
    </w:p>
    <w:p w14:paraId="3530EEFE" w14:textId="2413F095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 posiadać atesty i certyfikaty bezpieczeństwa zgodnie z obowiązującymi w tym zakresie przepisami i normami.</w:t>
      </w:r>
    </w:p>
    <w:p w14:paraId="314D68F5" w14:textId="4B22FEDC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Na uzasadnione żądanie Zamawiającego, gdy zajdzie taka konieczność wykonawca zobowiązany będzie wykonać roboty zamienne wynikłe w trakcie realizacji inwestycji. Rozliczenie ewentualnych robót zamiennych nastąpi na zasadach określonych w projekcie umowy, będącej załącznikiem do niniejszej SWZ</w:t>
      </w:r>
    </w:p>
    <w:p w14:paraId="01C03AF3" w14:textId="1B4CE51E" w:rsidR="002E3999" w:rsidRPr="00D6200B" w:rsidRDefault="002E3999" w:rsidP="00D6200B">
      <w:pPr>
        <w:pStyle w:val="Akapitzlist"/>
        <w:numPr>
          <w:ilvl w:val="1"/>
          <w:numId w:val="2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6200B">
        <w:rPr>
          <w:rFonts w:asciiTheme="minorHAnsi" w:hAnsiTheme="minorHAnsi" w:cstheme="minorHAnsi"/>
          <w:sz w:val="24"/>
          <w:szCs w:val="24"/>
        </w:rPr>
        <w:t>Roboty zamienne mogą być także wykonane na wniosek wykonawcy po uprzednim uzgodnieniu z Zamawiającym, według zasad jak dla robót zamiennych na żądanie Zamawiającego</w:t>
      </w:r>
    </w:p>
    <w:p w14:paraId="46A23BBE" w14:textId="46014C40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sz w:val="24"/>
          <w:szCs w:val="24"/>
        </w:rPr>
        <w:t>Zamawiający wymaga, aby okres rękojmi za wady przedmiotu umowy wynosił min.</w:t>
      </w:r>
      <w:r w:rsidR="00A2209A" w:rsidRPr="00D620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000000"/>
          <w:sz w:val="24"/>
          <w:szCs w:val="24"/>
        </w:rPr>
        <w:t>5 lat od daty odbioru końcowego danej części przedmiotu zamówienia, natomiast okres gwarancji w wymiarze podanym przez wykonawcę w ofercie jednak nie krótszy jak 5 lat od odbioru końcowego danej części zamówienia. Szczegóły odpowiedzialności Wykonawcy</w:t>
      </w:r>
      <w:r w:rsidR="00EE7911" w:rsidRPr="00D620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color w:val="000000"/>
          <w:sz w:val="24"/>
          <w:szCs w:val="24"/>
        </w:rPr>
        <w:t>w powyższym zakresie określono w projekcie umowy stanowiącym załącznik do SWZ</w:t>
      </w:r>
      <w:r w:rsidR="00EE7911" w:rsidRPr="00D6200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8DABC18" w14:textId="17819F89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D6200B">
        <w:rPr>
          <w:rFonts w:asciiTheme="minorHAnsi" w:hAnsiTheme="minorHAnsi" w:cstheme="minorHAnsi"/>
          <w:kern w:val="2"/>
          <w:sz w:val="24"/>
          <w:szCs w:val="24"/>
        </w:rPr>
        <w:lastRenderedPageBreak/>
        <w:t>dokumentacji obejmującej komplet wszystkich dokumentów wymaganych przepisami prawa i postanowieniami zawartej umowy, a w szczególności:</w:t>
      </w:r>
    </w:p>
    <w:p w14:paraId="5A6ECDEB" w14:textId="697F619C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kern w:val="2"/>
          <w:sz w:val="24"/>
          <w:szCs w:val="24"/>
        </w:rPr>
        <w:t>dokumenty dopuszczające do stosowania w budownictwie zastosowanych wyrobów</w:t>
      </w:r>
      <w:r w:rsidR="00EE7911" w:rsidRPr="00D6200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D6200B">
        <w:rPr>
          <w:rFonts w:asciiTheme="minorHAnsi" w:hAnsiTheme="minorHAnsi" w:cstheme="minorHAnsi"/>
          <w:kern w:val="2"/>
          <w:sz w:val="24"/>
          <w:szCs w:val="24"/>
        </w:rPr>
        <w:t xml:space="preserve">i materiałów budowlanych. </w:t>
      </w:r>
    </w:p>
    <w:p w14:paraId="67DE8B1B" w14:textId="77777777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5F8B89BC" w14:textId="6E198D10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Dokumentacja, o której mowa w pkt. </w:t>
      </w:r>
      <w:r w:rsidR="00BC7560"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3.</w:t>
      </w: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21 winna być przekazana wraz z pismem dotyczącym gotowości do odbioru końcowego. </w:t>
      </w:r>
    </w:p>
    <w:p w14:paraId="072FE5F7" w14:textId="51D3C583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5395E116" w14:textId="3A6A43D6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7E8F736" w14:textId="20D34B7F" w:rsidR="002E3999" w:rsidRPr="00D6200B" w:rsidRDefault="002E3999" w:rsidP="00D6200B">
      <w:pPr>
        <w:pStyle w:val="Akapitzlist"/>
        <w:widowControl w:val="0"/>
        <w:numPr>
          <w:ilvl w:val="1"/>
          <w:numId w:val="24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F60B3DF" w14:textId="77777777" w:rsidR="002E3999" w:rsidRPr="00D6200B" w:rsidRDefault="002E3999" w:rsidP="00D6200B">
      <w:pPr>
        <w:widowControl w:val="0"/>
        <w:spacing w:after="0" w:line="360" w:lineRule="auto"/>
        <w:ind w:left="38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BE16960" w14:textId="77777777" w:rsidR="002E3999" w:rsidRPr="00D6200B" w:rsidRDefault="002E3999" w:rsidP="00D6200B">
      <w:pPr>
        <w:widowControl w:val="0"/>
        <w:spacing w:after="0" w:line="360" w:lineRule="auto"/>
        <w:ind w:left="38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D31656" w14:textId="777CBA4F" w:rsidR="002E3999" w:rsidRPr="00D6200B" w:rsidRDefault="002E3999" w:rsidP="00D6200B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620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90C904C" w14:textId="77777777" w:rsidR="002E3999" w:rsidRPr="00D6200B" w:rsidRDefault="002E3999" w:rsidP="00D6200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2089026" w14:textId="77777777" w:rsidR="002E3999" w:rsidRPr="00D6200B" w:rsidRDefault="002E3999" w:rsidP="00D6200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D9B53AB" w14:textId="77777777" w:rsidR="00E400F6" w:rsidRPr="00D6200B" w:rsidRDefault="00E400F6" w:rsidP="00D6200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E400F6" w:rsidRPr="00D6200B">
      <w:headerReference w:type="default" r:id="rId7"/>
      <w:footerReference w:type="default" r:id="rId8"/>
      <w:pgSz w:w="12240" w:h="15840"/>
      <w:pgMar w:top="1417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4F6E" w14:textId="77777777" w:rsidR="005530B2" w:rsidRDefault="005530B2" w:rsidP="006A30C7">
      <w:pPr>
        <w:spacing w:after="0" w:line="240" w:lineRule="auto"/>
      </w:pPr>
      <w:r>
        <w:separator/>
      </w:r>
    </w:p>
  </w:endnote>
  <w:endnote w:type="continuationSeparator" w:id="0">
    <w:p w14:paraId="5EC5ED6E" w14:textId="77777777" w:rsidR="005530B2" w:rsidRDefault="005530B2" w:rsidP="006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62DF" w14:textId="1B944531" w:rsidR="00FC22AD" w:rsidRDefault="00321BA1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23AB" w14:textId="77777777" w:rsidR="005530B2" w:rsidRDefault="005530B2" w:rsidP="006A30C7">
      <w:pPr>
        <w:spacing w:after="0" w:line="240" w:lineRule="auto"/>
      </w:pPr>
      <w:r>
        <w:separator/>
      </w:r>
    </w:p>
  </w:footnote>
  <w:footnote w:type="continuationSeparator" w:id="0">
    <w:p w14:paraId="6330EB40" w14:textId="77777777" w:rsidR="005530B2" w:rsidRDefault="005530B2" w:rsidP="006A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BAC" w14:textId="514DDB1A" w:rsidR="000667C8" w:rsidRPr="003553CE" w:rsidRDefault="000667C8" w:rsidP="000667C8">
    <w:pPr>
      <w:pStyle w:val="Standard"/>
      <w:ind w:right="-142"/>
    </w:pPr>
    <w:r w:rsidRPr="003553CE">
      <w:rPr>
        <w:rFonts w:ascii="Calibri" w:hAnsi="Calibri" w:cs="Arial"/>
        <w:b/>
        <w:color w:val="000000"/>
        <w:lang w:val="pl-PL"/>
      </w:rPr>
      <w:t>ZP-271-1/202</w:t>
    </w:r>
    <w:r w:rsidR="008A261D" w:rsidRPr="003553CE">
      <w:rPr>
        <w:rFonts w:ascii="Calibri" w:hAnsi="Calibri" w:cs="Arial"/>
        <w:b/>
        <w:color w:val="000000"/>
        <w:lang w:val="pl-PL"/>
      </w:rPr>
      <w:t>2</w:t>
    </w:r>
    <w:r w:rsidRPr="003553CE">
      <w:rPr>
        <w:rFonts w:ascii="Calibri" w:hAnsi="Calibri"/>
        <w:b/>
        <w:color w:val="000000"/>
        <w:lang w:val="pl-PL"/>
      </w:rPr>
      <w:t xml:space="preserve"> </w:t>
    </w:r>
    <w:r w:rsidRPr="003553CE">
      <w:rPr>
        <w:rFonts w:ascii="Calibri" w:hAnsi="Calibri"/>
        <w:b/>
        <w:color w:val="000000"/>
        <w:lang w:val="pl-PL"/>
      </w:rPr>
      <w:tab/>
    </w:r>
    <w:r w:rsidRPr="003553CE">
      <w:rPr>
        <w:rFonts w:ascii="Calibri" w:hAnsi="Calibri"/>
        <w:b/>
        <w:color w:val="000000"/>
        <w:lang w:val="pl-PL"/>
      </w:rPr>
      <w:tab/>
    </w:r>
    <w:r w:rsidRPr="003553CE">
      <w:rPr>
        <w:rFonts w:ascii="Calibri" w:hAnsi="Calibri"/>
        <w:b/>
        <w:color w:val="000000"/>
        <w:lang w:val="pl-PL"/>
      </w:rPr>
      <w:tab/>
      <w:t xml:space="preserve">          Załącznik nr </w:t>
    </w:r>
    <w:r w:rsidR="008A261D" w:rsidRPr="003553CE">
      <w:rPr>
        <w:rFonts w:ascii="Calibri" w:hAnsi="Calibri"/>
        <w:b/>
        <w:color w:val="000000"/>
        <w:lang w:val="pl-PL"/>
      </w:rPr>
      <w:t>4</w:t>
    </w:r>
    <w:r w:rsidRPr="003553CE">
      <w:rPr>
        <w:rFonts w:ascii="Calibri" w:hAnsi="Calibri"/>
        <w:b/>
        <w:color w:val="000000"/>
        <w:lang w:val="pl-PL"/>
      </w:rPr>
      <w:t xml:space="preserve"> do SWZ – </w:t>
    </w:r>
    <w:r w:rsidRPr="003553CE">
      <w:rPr>
        <w:rFonts w:ascii="Calibri" w:hAnsi="Calibri"/>
        <w:b/>
        <w:bCs/>
        <w:color w:val="000000"/>
        <w:lang w:val="pl-PL"/>
      </w:rPr>
      <w:t>Opis przedmiotu zamówienia</w:t>
    </w:r>
  </w:p>
  <w:p w14:paraId="5649D821" w14:textId="77777777" w:rsidR="000667C8" w:rsidRDefault="00066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880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3A75D9F"/>
    <w:multiLevelType w:val="multilevel"/>
    <w:tmpl w:val="CA98B2D6"/>
    <w:lvl w:ilvl="0">
      <w:start w:val="1"/>
      <w:numFmt w:val="lowerLetter"/>
      <w:lvlText w:val="%1)"/>
      <w:lvlJc w:val="left"/>
      <w:pPr>
        <w:ind w:left="1882" w:hanging="360"/>
      </w:pPr>
    </w:lvl>
    <w:lvl w:ilvl="1">
      <w:start w:val="1"/>
      <w:numFmt w:val="lowerLetter"/>
      <w:lvlText w:val="%2."/>
      <w:lvlJc w:val="left"/>
      <w:pPr>
        <w:ind w:left="2602" w:hanging="360"/>
      </w:pPr>
    </w:lvl>
    <w:lvl w:ilvl="2">
      <w:start w:val="1"/>
      <w:numFmt w:val="lowerRoman"/>
      <w:lvlText w:val="%3."/>
      <w:lvlJc w:val="right"/>
      <w:pPr>
        <w:ind w:left="3322" w:hanging="180"/>
      </w:pPr>
    </w:lvl>
    <w:lvl w:ilvl="3">
      <w:start w:val="1"/>
      <w:numFmt w:val="decimal"/>
      <w:lvlText w:val="%4."/>
      <w:lvlJc w:val="left"/>
      <w:pPr>
        <w:ind w:left="4042" w:hanging="360"/>
      </w:pPr>
    </w:lvl>
    <w:lvl w:ilvl="4">
      <w:start w:val="1"/>
      <w:numFmt w:val="lowerLetter"/>
      <w:lvlText w:val="%5."/>
      <w:lvlJc w:val="left"/>
      <w:pPr>
        <w:ind w:left="4762" w:hanging="360"/>
      </w:pPr>
    </w:lvl>
    <w:lvl w:ilvl="5">
      <w:start w:val="1"/>
      <w:numFmt w:val="lowerRoman"/>
      <w:lvlText w:val="%6."/>
      <w:lvlJc w:val="right"/>
      <w:pPr>
        <w:ind w:left="5482" w:hanging="180"/>
      </w:pPr>
    </w:lvl>
    <w:lvl w:ilvl="6">
      <w:start w:val="1"/>
      <w:numFmt w:val="decimal"/>
      <w:lvlText w:val="%7."/>
      <w:lvlJc w:val="left"/>
      <w:pPr>
        <w:ind w:left="6202" w:hanging="360"/>
      </w:pPr>
    </w:lvl>
    <w:lvl w:ilvl="7">
      <w:start w:val="1"/>
      <w:numFmt w:val="lowerLetter"/>
      <w:lvlText w:val="%8."/>
      <w:lvlJc w:val="left"/>
      <w:pPr>
        <w:ind w:left="6922" w:hanging="360"/>
      </w:pPr>
    </w:lvl>
    <w:lvl w:ilvl="8">
      <w:start w:val="1"/>
      <w:numFmt w:val="lowerRoman"/>
      <w:lvlText w:val="%9."/>
      <w:lvlJc w:val="right"/>
      <w:pPr>
        <w:ind w:left="7642" w:hanging="180"/>
      </w:pPr>
    </w:lvl>
  </w:abstractNum>
  <w:abstractNum w:abstractNumId="7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C465FF"/>
    <w:multiLevelType w:val="hybridMultilevel"/>
    <w:tmpl w:val="8ACC1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E305E2"/>
    <w:multiLevelType w:val="hybridMultilevel"/>
    <w:tmpl w:val="E064F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704C41"/>
    <w:multiLevelType w:val="hybridMultilevel"/>
    <w:tmpl w:val="31C81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C737D"/>
    <w:multiLevelType w:val="multilevel"/>
    <w:tmpl w:val="AC70F4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60559A"/>
    <w:multiLevelType w:val="multilevel"/>
    <w:tmpl w:val="9910A8DA"/>
    <w:lvl w:ilvl="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91C65"/>
    <w:multiLevelType w:val="hybridMultilevel"/>
    <w:tmpl w:val="F4BA0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107684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862E2"/>
    <w:multiLevelType w:val="multilevel"/>
    <w:tmpl w:val="65F6F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B71510"/>
    <w:multiLevelType w:val="multilevel"/>
    <w:tmpl w:val="2C40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DD394D"/>
    <w:multiLevelType w:val="hybridMultilevel"/>
    <w:tmpl w:val="B0B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164A"/>
    <w:multiLevelType w:val="multilevel"/>
    <w:tmpl w:val="88EE9A82"/>
    <w:lvl w:ilvl="0">
      <w:start w:val="1"/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AF0996"/>
    <w:multiLevelType w:val="multilevel"/>
    <w:tmpl w:val="E2B4CCC6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8B4E6C"/>
    <w:multiLevelType w:val="multilevel"/>
    <w:tmpl w:val="80C6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CD5C6F"/>
    <w:multiLevelType w:val="hybridMultilevel"/>
    <w:tmpl w:val="75B6522A"/>
    <w:lvl w:ilvl="0" w:tplc="D570E0E0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CA1DC5"/>
    <w:multiLevelType w:val="hybridMultilevel"/>
    <w:tmpl w:val="89D6824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80D52"/>
    <w:multiLevelType w:val="hybridMultilevel"/>
    <w:tmpl w:val="7F9C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7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  <w:num w:numId="19">
    <w:abstractNumId w:val="1"/>
  </w:num>
  <w:num w:numId="20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19"/>
  </w:num>
  <w:num w:numId="25">
    <w:abstractNumId w:val="15"/>
  </w:num>
  <w:num w:numId="26">
    <w:abstractNumId w:val="13"/>
  </w:num>
  <w:num w:numId="27">
    <w:abstractNumId w:val="9"/>
  </w:num>
  <w:num w:numId="28">
    <w:abstractNumId w:val="20"/>
  </w:num>
  <w:num w:numId="29">
    <w:abstractNumId w:val="22"/>
  </w:num>
  <w:num w:numId="30">
    <w:abstractNumId w:val="10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0557D6"/>
    <w:rsid w:val="000667C8"/>
    <w:rsid w:val="000D1747"/>
    <w:rsid w:val="0010083F"/>
    <w:rsid w:val="00157670"/>
    <w:rsid w:val="001B4910"/>
    <w:rsid w:val="00240076"/>
    <w:rsid w:val="002B3542"/>
    <w:rsid w:val="002D6325"/>
    <w:rsid w:val="002E3999"/>
    <w:rsid w:val="002E5EF1"/>
    <w:rsid w:val="0031293B"/>
    <w:rsid w:val="00323583"/>
    <w:rsid w:val="0033469A"/>
    <w:rsid w:val="003553CE"/>
    <w:rsid w:val="00370F22"/>
    <w:rsid w:val="003C6974"/>
    <w:rsid w:val="003E2B2F"/>
    <w:rsid w:val="0040020F"/>
    <w:rsid w:val="004438C0"/>
    <w:rsid w:val="004D0A11"/>
    <w:rsid w:val="004E6935"/>
    <w:rsid w:val="004F7064"/>
    <w:rsid w:val="00521540"/>
    <w:rsid w:val="00543DFB"/>
    <w:rsid w:val="005530B2"/>
    <w:rsid w:val="00582C01"/>
    <w:rsid w:val="0060503D"/>
    <w:rsid w:val="0061509A"/>
    <w:rsid w:val="006A30C7"/>
    <w:rsid w:val="006B313F"/>
    <w:rsid w:val="0070041A"/>
    <w:rsid w:val="00716E2C"/>
    <w:rsid w:val="007261D3"/>
    <w:rsid w:val="00752C2A"/>
    <w:rsid w:val="007A0A20"/>
    <w:rsid w:val="007C2A33"/>
    <w:rsid w:val="007D541D"/>
    <w:rsid w:val="00824811"/>
    <w:rsid w:val="0085128D"/>
    <w:rsid w:val="00870BF9"/>
    <w:rsid w:val="00871AF7"/>
    <w:rsid w:val="00872921"/>
    <w:rsid w:val="00880B72"/>
    <w:rsid w:val="00885BA5"/>
    <w:rsid w:val="008A261D"/>
    <w:rsid w:val="008A4B54"/>
    <w:rsid w:val="008B1CCC"/>
    <w:rsid w:val="008B5346"/>
    <w:rsid w:val="009136A6"/>
    <w:rsid w:val="0092180A"/>
    <w:rsid w:val="00966F87"/>
    <w:rsid w:val="00970A02"/>
    <w:rsid w:val="009C5AFF"/>
    <w:rsid w:val="009F5F49"/>
    <w:rsid w:val="00A2209A"/>
    <w:rsid w:val="00A31FEA"/>
    <w:rsid w:val="00A32AC5"/>
    <w:rsid w:val="00A50F29"/>
    <w:rsid w:val="00A87549"/>
    <w:rsid w:val="00A87570"/>
    <w:rsid w:val="00AB44C6"/>
    <w:rsid w:val="00B06DDF"/>
    <w:rsid w:val="00B51185"/>
    <w:rsid w:val="00B84D71"/>
    <w:rsid w:val="00B85585"/>
    <w:rsid w:val="00BB38AE"/>
    <w:rsid w:val="00BC7560"/>
    <w:rsid w:val="00BD37D1"/>
    <w:rsid w:val="00C0476B"/>
    <w:rsid w:val="00C26276"/>
    <w:rsid w:val="00C85C12"/>
    <w:rsid w:val="00CB7B20"/>
    <w:rsid w:val="00D13129"/>
    <w:rsid w:val="00D416B6"/>
    <w:rsid w:val="00D6200B"/>
    <w:rsid w:val="00E400F6"/>
    <w:rsid w:val="00E46817"/>
    <w:rsid w:val="00E77416"/>
    <w:rsid w:val="00E919C5"/>
    <w:rsid w:val="00EB28C6"/>
    <w:rsid w:val="00EC5AAE"/>
    <w:rsid w:val="00EE7911"/>
    <w:rsid w:val="00EF1CAB"/>
    <w:rsid w:val="00F93A71"/>
    <w:rsid w:val="00FA77A3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0E78"/>
  <w15:chartTrackingRefBased/>
  <w15:docId w15:val="{B7AB792B-164C-4F24-BEAC-B1BE35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3D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0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03D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60503D"/>
    <w:pPr>
      <w:ind w:left="708"/>
    </w:pPr>
  </w:style>
  <w:style w:type="paragraph" w:customStyle="1" w:styleId="Zawartoramki">
    <w:name w:val="Zawartość ramki"/>
    <w:basedOn w:val="Normalny"/>
    <w:qFormat/>
    <w:rsid w:val="006050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03D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A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C7"/>
    <w:rPr>
      <w:rFonts w:ascii="Calibri" w:eastAsia="Calibri" w:hAnsi="Calibri" w:cs="Tahoma"/>
      <w:color w:val="00000A"/>
    </w:rPr>
  </w:style>
  <w:style w:type="character" w:customStyle="1" w:styleId="markedcontent">
    <w:name w:val="markedcontent"/>
    <w:basedOn w:val="Domylnaczcionkaakapitu"/>
    <w:rsid w:val="00B06DDF"/>
  </w:style>
  <w:style w:type="paragraph" w:customStyle="1" w:styleId="Standard">
    <w:name w:val="Standard"/>
    <w:rsid w:val="000667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umt365</cp:lastModifiedBy>
  <cp:revision>123</cp:revision>
  <dcterms:created xsi:type="dcterms:W3CDTF">2022-03-04T09:06:00Z</dcterms:created>
  <dcterms:modified xsi:type="dcterms:W3CDTF">2022-03-31T06:14:00Z</dcterms:modified>
</cp:coreProperties>
</file>