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50F8DA0D"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IZP.271.</w:t>
      </w:r>
      <w:r w:rsidR="00434B9E">
        <w:rPr>
          <w:rFonts w:asciiTheme="majorHAnsi" w:hAnsiTheme="majorHAnsi" w:cstheme="majorHAnsi"/>
          <w:sz w:val="20"/>
          <w:szCs w:val="20"/>
        </w:rPr>
        <w:t>14</w:t>
      </w:r>
      <w:r w:rsidRPr="00D50479">
        <w:rPr>
          <w:rFonts w:asciiTheme="majorHAnsi" w:eastAsia="Calibri" w:hAnsiTheme="majorHAnsi" w:cstheme="majorHAnsi"/>
          <w:sz w:val="20"/>
          <w:szCs w:val="20"/>
        </w:rPr>
        <w:t>.202</w:t>
      </w:r>
      <w:r w:rsidR="000D43D5">
        <w:rPr>
          <w:rFonts w:asciiTheme="majorHAnsi" w:eastAsia="Calibri" w:hAnsiTheme="majorHAnsi" w:cstheme="majorHAnsi"/>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0757200F"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r w:rsidR="000D43D5" w:rsidRPr="000D43D5">
        <w:rPr>
          <w:rFonts w:asciiTheme="majorHAnsi" w:hAnsiTheme="majorHAnsi" w:cstheme="majorHAnsi"/>
          <w:b/>
          <w:bCs/>
          <w:sz w:val="20"/>
          <w:szCs w:val="20"/>
        </w:rPr>
        <w:t>Przebudowa ulicy Bursztynowej w Nowych Pieścirogach</w:t>
      </w:r>
      <w:r w:rsidR="00D50479" w:rsidRPr="00D50479">
        <w:rPr>
          <w:rFonts w:asciiTheme="majorHAnsi" w:hAnsiTheme="majorHAnsi" w:cstheme="majorHAnsi"/>
          <w:b/>
          <w:bCs/>
          <w:sz w:val="20"/>
          <w:szCs w:val="20"/>
        </w:rPr>
        <w:t>’’</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D8711EC"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0D43D5">
        <w:rPr>
          <w:rFonts w:asciiTheme="majorHAnsi" w:hAnsiTheme="majorHAnsi" w:cstheme="majorHAnsi"/>
          <w:b/>
          <w:sz w:val="20"/>
          <w:szCs w:val="20"/>
        </w:rPr>
        <w:t>3 miesięcy</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jakości lub innych parametrów charakterystycznych dla danego elementu robót budowlanych lub zmianę technologii ze względu na zmianę postępu technologicznego (np. </w:t>
      </w:r>
      <w:r w:rsidRPr="00D50479">
        <w:rPr>
          <w:rFonts w:asciiTheme="majorHAnsi" w:hAnsiTheme="majorHAnsi" w:cstheme="majorHAnsi"/>
          <w:sz w:val="20"/>
          <w:szCs w:val="20"/>
        </w:rPr>
        <w:lastRenderedPageBreak/>
        <w:t>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06693F80"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434B9E">
        <w:rPr>
          <w:rFonts w:asciiTheme="majorHAnsi" w:hAnsiTheme="majorHAnsi" w:cstheme="majorHAnsi"/>
          <w:bCs/>
          <w:sz w:val="20"/>
          <w:szCs w:val="20"/>
        </w:rPr>
        <w:t>14</w:t>
      </w:r>
      <w:r w:rsidR="00F743DB" w:rsidRPr="00D50479">
        <w:rPr>
          <w:rFonts w:asciiTheme="majorHAnsi" w:hAnsiTheme="majorHAnsi" w:cstheme="majorHAnsi"/>
          <w:bCs/>
          <w:sz w:val="20"/>
          <w:szCs w:val="20"/>
        </w:rPr>
        <w:t>.202</w:t>
      </w:r>
      <w:r w:rsidR="00D374FA">
        <w:rPr>
          <w:rFonts w:asciiTheme="majorHAnsi" w:hAnsiTheme="majorHAnsi" w:cstheme="majorHAnsi"/>
          <w:bCs/>
          <w:sz w:val="20"/>
          <w:szCs w:val="20"/>
        </w:rPr>
        <w:t>3</w:t>
      </w:r>
      <w:r w:rsidR="00F743DB" w:rsidRPr="00D50479">
        <w:rPr>
          <w:rFonts w:asciiTheme="majorHAnsi" w:hAnsiTheme="majorHAnsi" w:cstheme="majorHAnsi"/>
          <w:bCs/>
          <w:sz w:val="20"/>
          <w:szCs w:val="20"/>
        </w:rPr>
        <w:t>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2074B4"/>
    <w:rsid w:val="00217D0E"/>
    <w:rsid w:val="00222983"/>
    <w:rsid w:val="002710B7"/>
    <w:rsid w:val="00274860"/>
    <w:rsid w:val="002C5B88"/>
    <w:rsid w:val="002D12FB"/>
    <w:rsid w:val="002D5749"/>
    <w:rsid w:val="003043F5"/>
    <w:rsid w:val="00385714"/>
    <w:rsid w:val="003E40CA"/>
    <w:rsid w:val="00434B9E"/>
    <w:rsid w:val="0046058B"/>
    <w:rsid w:val="0048211C"/>
    <w:rsid w:val="005269DF"/>
    <w:rsid w:val="00564E26"/>
    <w:rsid w:val="00592BF9"/>
    <w:rsid w:val="005E2BEF"/>
    <w:rsid w:val="006037EC"/>
    <w:rsid w:val="006A439B"/>
    <w:rsid w:val="006B50B5"/>
    <w:rsid w:val="006E2B8F"/>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E0C1E"/>
    <w:rsid w:val="00CE7426"/>
    <w:rsid w:val="00D07DFE"/>
    <w:rsid w:val="00D22D0B"/>
    <w:rsid w:val="00D374FA"/>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7012</Words>
  <Characters>42073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2023-06-20T11:15:00Z</dcterms:created>
  <dcterms:modified xsi:type="dcterms:W3CDTF">2023-06-20T11:15:00Z</dcterms:modified>
</cp:coreProperties>
</file>