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CF" w:rsidRDefault="008D3ECF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98423A">
        <w:rPr>
          <w:rFonts w:asciiTheme="majorHAnsi" w:hAnsiTheme="majorHAnsi" w:cs="Tahoma"/>
          <w:szCs w:val="24"/>
        </w:rPr>
        <w:t>52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3B3051">
        <w:rPr>
          <w:rFonts w:asciiTheme="majorHAnsi" w:hAnsiTheme="majorHAnsi" w:cs="Tahoma"/>
          <w:szCs w:val="24"/>
        </w:rPr>
        <w:t>4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98423A">
        <w:rPr>
          <w:rFonts w:asciiTheme="majorHAnsi" w:hAnsiTheme="majorHAnsi" w:cs="Tahoma"/>
          <w:szCs w:val="24"/>
        </w:rPr>
        <w:t>20</w:t>
      </w:r>
      <w:r w:rsidR="00BB449B">
        <w:rPr>
          <w:rFonts w:asciiTheme="majorHAnsi" w:hAnsiTheme="majorHAnsi" w:cs="Tahoma"/>
          <w:szCs w:val="24"/>
        </w:rPr>
        <w:t>.0</w:t>
      </w:r>
      <w:r w:rsidR="0098423A">
        <w:rPr>
          <w:rFonts w:asciiTheme="majorHAnsi" w:hAnsiTheme="majorHAnsi" w:cs="Tahoma"/>
          <w:szCs w:val="24"/>
        </w:rPr>
        <w:t>5</w:t>
      </w:r>
      <w:r w:rsidR="00321613">
        <w:rPr>
          <w:rFonts w:asciiTheme="majorHAnsi" w:hAnsiTheme="majorHAnsi" w:cs="Tahoma"/>
          <w:szCs w:val="24"/>
        </w:rPr>
        <w:t>.2024</w:t>
      </w:r>
      <w:r w:rsidR="00BB449B">
        <w:rPr>
          <w:rFonts w:asciiTheme="majorHAnsi" w:hAnsiTheme="majorHAnsi" w:cs="Tahoma"/>
          <w:szCs w:val="24"/>
        </w:rPr>
        <w:t xml:space="preserve"> </w:t>
      </w:r>
      <w:r w:rsidR="00321613">
        <w:rPr>
          <w:rFonts w:asciiTheme="majorHAnsi" w:hAnsiTheme="majorHAnsi" w:cs="Tahoma"/>
          <w:szCs w:val="24"/>
        </w:rPr>
        <w:t xml:space="preserve">r. </w:t>
      </w:r>
      <w:r w:rsidR="00CB1E65" w:rsidRPr="00B6500B">
        <w:rPr>
          <w:rFonts w:asciiTheme="majorHAnsi" w:hAnsiTheme="majorHAnsi" w:cs="Tahoma"/>
          <w:szCs w:val="24"/>
        </w:rPr>
        <w:t xml:space="preserve">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AA74D3" w:rsidRPr="00397897" w:rsidRDefault="0029489A" w:rsidP="00AA74D3">
      <w:pPr>
        <w:jc w:val="both"/>
        <w:rPr>
          <w:rFonts w:ascii="Cambria" w:hAnsi="Cambria" w:cs="Tahoma"/>
          <w:sz w:val="24"/>
          <w:szCs w:val="24"/>
        </w:rPr>
      </w:pPr>
      <w:r w:rsidRPr="00397897">
        <w:rPr>
          <w:rFonts w:ascii="Cambria" w:hAnsi="Cambria" w:cs="Tahoma"/>
          <w:sz w:val="24"/>
          <w:szCs w:val="24"/>
        </w:rPr>
        <w:t xml:space="preserve">Dotyczy: </w:t>
      </w:r>
      <w:r w:rsidR="00321613" w:rsidRPr="00397897">
        <w:rPr>
          <w:rFonts w:ascii="Cambria" w:hAnsi="Cambria" w:cs="Tahoma"/>
          <w:snapToGrid w:val="0"/>
          <w:sz w:val="24"/>
          <w:szCs w:val="24"/>
        </w:rPr>
        <w:t>D</w:t>
      </w:r>
      <w:r w:rsidRPr="00397897">
        <w:rPr>
          <w:rFonts w:ascii="Cambria" w:hAnsi="Cambria" w:cs="Tahoma"/>
          <w:snapToGrid w:val="0"/>
          <w:sz w:val="24"/>
          <w:szCs w:val="24"/>
        </w:rPr>
        <w:t xml:space="preserve">ostawę </w:t>
      </w:r>
      <w:r w:rsidR="00AA74D3" w:rsidRPr="00397897">
        <w:rPr>
          <w:rFonts w:ascii="Cambria" w:hAnsi="Cambria" w:cs="Tahoma"/>
          <w:sz w:val="24"/>
          <w:szCs w:val="24"/>
        </w:rPr>
        <w:t xml:space="preserve">produktów leczniczych </w:t>
      </w:r>
      <w:r w:rsidR="00321613" w:rsidRPr="00397897">
        <w:rPr>
          <w:rFonts w:ascii="Cambria" w:hAnsi="Cambria" w:cs="Tahoma"/>
          <w:sz w:val="24"/>
          <w:szCs w:val="24"/>
        </w:rPr>
        <w:t>do Apteki Szpitalnej – uzupełnienie V</w:t>
      </w:r>
      <w:r w:rsidR="00BB449B">
        <w:rPr>
          <w:rFonts w:ascii="Cambria" w:hAnsi="Cambria" w:cs="Tahoma"/>
          <w:sz w:val="24"/>
          <w:szCs w:val="24"/>
        </w:rPr>
        <w:t>I</w:t>
      </w:r>
      <w:r w:rsidR="0098423A">
        <w:rPr>
          <w:rFonts w:ascii="Cambria" w:hAnsi="Cambria" w:cs="Tahoma"/>
          <w:sz w:val="24"/>
          <w:szCs w:val="24"/>
        </w:rPr>
        <w:t>I</w:t>
      </w:r>
      <w:r w:rsidR="00397897">
        <w:rPr>
          <w:rFonts w:ascii="Cambria" w:hAnsi="Cambria" w:cs="Tahoma"/>
          <w:sz w:val="24"/>
          <w:szCs w:val="24"/>
        </w:rPr>
        <w:t>I</w:t>
      </w:r>
      <w:r w:rsidR="00321613" w:rsidRPr="00397897">
        <w:rPr>
          <w:rFonts w:ascii="Cambria" w:hAnsi="Cambria" w:cs="Tahoma"/>
          <w:sz w:val="24"/>
          <w:szCs w:val="24"/>
        </w:rPr>
        <w:t xml:space="preserve">. </w:t>
      </w:r>
    </w:p>
    <w:p w:rsidR="0029489A" w:rsidRPr="00397897" w:rsidRDefault="0029489A" w:rsidP="00AA74D3">
      <w:pPr>
        <w:pStyle w:val="Tekstpodstawowy"/>
        <w:rPr>
          <w:rFonts w:ascii="Cambria" w:hAnsi="Cambria" w:cs="Tahoma"/>
          <w:color w:val="auto"/>
          <w:szCs w:val="24"/>
        </w:rPr>
      </w:pPr>
      <w:r w:rsidRPr="00397897">
        <w:rPr>
          <w:rFonts w:ascii="Cambria" w:hAnsi="Cambria" w:cs="Tahoma"/>
          <w:color w:val="auto"/>
          <w:szCs w:val="24"/>
        </w:rPr>
        <w:t xml:space="preserve">                                </w:t>
      </w:r>
    </w:p>
    <w:p w:rsidR="0029489A" w:rsidRPr="0098423A" w:rsidRDefault="0029489A" w:rsidP="00BB449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98423A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B449B" w:rsidRPr="0098423A">
        <w:rPr>
          <w:rFonts w:ascii="Cambria" w:hAnsi="Cambria" w:cs="Tahoma"/>
          <w:sz w:val="24"/>
          <w:szCs w:val="24"/>
        </w:rPr>
        <w:t>a</w:t>
      </w:r>
      <w:r w:rsidRPr="0098423A">
        <w:rPr>
          <w:rFonts w:ascii="Cambria" w:hAnsi="Cambria" w:cs="Tahoma"/>
          <w:sz w:val="24"/>
          <w:szCs w:val="24"/>
        </w:rPr>
        <w:t>:</w:t>
      </w:r>
    </w:p>
    <w:p w:rsidR="00BB449B" w:rsidRPr="0098423A" w:rsidRDefault="00BB449B" w:rsidP="00BB449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93798C" w:rsidRPr="0093798C" w:rsidRDefault="0093798C" w:rsidP="0093798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Segoe UI"/>
          <w:color w:val="181818"/>
          <w:lang w:eastAsia="pl-PL"/>
        </w:rPr>
      </w:pPr>
      <w:r w:rsidRPr="0093798C">
        <w:rPr>
          <w:rStyle w:val="uioutputtext"/>
          <w:rFonts w:asciiTheme="majorHAnsi" w:hAnsiTheme="majorHAnsi" w:cs="Segoe UI"/>
          <w:color w:val="181818"/>
        </w:rPr>
        <w:t>Pakiet 1</w:t>
      </w:r>
    </w:p>
    <w:p w:rsidR="0093798C" w:rsidRDefault="0093798C" w:rsidP="0093798C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/>
          <w:sz w:val="24"/>
          <w:szCs w:val="24"/>
        </w:rPr>
      </w:pPr>
      <w:r w:rsidRPr="0093798C">
        <w:rPr>
          <w:rFonts w:asciiTheme="majorHAnsi" w:hAnsiTheme="majorHAnsi" w:cs="Arial"/>
          <w:bCs/>
          <w:color w:val="000000"/>
          <w:sz w:val="24"/>
          <w:szCs w:val="24"/>
        </w:rPr>
        <w:t>Czy Zamawiający dopuści do oceny preparat w postaci koncentratu przeznaczony do manualnego mycia i dezynfekcji narzędzi, endoskopów, oprzyrządowania anestezjologicznego. Produkt na bazie czwartorzędowych związków amonowych, kompleksu trój-enzymatycznego (amylaza, proteaza, lipaza) oraz substancji powierzchniowo czynnych. Oferowany preparat posiada bardzo dobrą tolerancję materiałową potwierdzoną badaniami laboratoryjnymi. Produkt może być stosowany myjkach ultradźwiękowych, jest odpowiedni do czyszczenia i dezynfekcji wyrobów medycznych ze stali nierdzewnej poprzez ich zanurzenie w preparacie i przetrzymywanie do 72h przy zachowani odpowiednich warunków.</w:t>
      </w:r>
      <w:r w:rsidRPr="0093798C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r w:rsidRPr="0093798C">
        <w:rPr>
          <w:rFonts w:asciiTheme="majorHAnsi" w:hAnsiTheme="majorHAnsi" w:cs="Arial"/>
          <w:bCs/>
          <w:color w:val="000000"/>
          <w:sz w:val="24"/>
          <w:szCs w:val="24"/>
        </w:rPr>
        <w:t xml:space="preserve">Wykazujący skuteczność na B - EN 14561, V EN 14476, EN 17111 (BVDV, </w:t>
      </w:r>
      <w:proofErr w:type="spellStart"/>
      <w:r w:rsidRPr="0093798C">
        <w:rPr>
          <w:rFonts w:asciiTheme="majorHAnsi" w:hAnsiTheme="majorHAnsi" w:cs="Arial"/>
          <w:bCs/>
          <w:color w:val="000000"/>
          <w:sz w:val="24"/>
          <w:szCs w:val="24"/>
        </w:rPr>
        <w:t>vaccinia</w:t>
      </w:r>
      <w:proofErr w:type="spellEnd"/>
      <w:r w:rsidRPr="0093798C">
        <w:rPr>
          <w:rFonts w:asciiTheme="majorHAnsi" w:hAnsiTheme="majorHAnsi" w:cs="Arial"/>
          <w:bCs/>
          <w:color w:val="000000"/>
          <w:sz w:val="24"/>
          <w:szCs w:val="24"/>
        </w:rPr>
        <w:t xml:space="preserve">), F (C. </w:t>
      </w:r>
      <w:proofErr w:type="spellStart"/>
      <w:r w:rsidRPr="0093798C">
        <w:rPr>
          <w:rFonts w:asciiTheme="majorHAnsi" w:hAnsiTheme="majorHAnsi" w:cs="Arial"/>
          <w:bCs/>
          <w:color w:val="000000"/>
          <w:sz w:val="24"/>
          <w:szCs w:val="24"/>
        </w:rPr>
        <w:t>albicans</w:t>
      </w:r>
      <w:proofErr w:type="spellEnd"/>
      <w:r w:rsidRPr="0093798C">
        <w:rPr>
          <w:rFonts w:asciiTheme="majorHAnsi" w:hAnsiTheme="majorHAnsi" w:cs="Arial"/>
          <w:bCs/>
          <w:color w:val="000000"/>
          <w:sz w:val="24"/>
          <w:szCs w:val="24"/>
        </w:rPr>
        <w:t xml:space="preserve">)- EN 14562 – 0,5%- 15 minut. Wyrób medyczny klasy </w:t>
      </w:r>
      <w:proofErr w:type="spellStart"/>
      <w:r w:rsidRPr="0093798C">
        <w:rPr>
          <w:rFonts w:asciiTheme="majorHAnsi" w:hAnsiTheme="majorHAnsi" w:cs="Arial"/>
          <w:bCs/>
          <w:color w:val="000000"/>
          <w:sz w:val="24"/>
          <w:szCs w:val="24"/>
        </w:rPr>
        <w:t>IIa</w:t>
      </w:r>
      <w:proofErr w:type="spellEnd"/>
      <w:r w:rsidRPr="0093798C">
        <w:rPr>
          <w:rFonts w:asciiTheme="majorHAnsi" w:hAnsiTheme="majorHAnsi" w:cs="Arial"/>
          <w:bCs/>
          <w:color w:val="000000"/>
          <w:sz w:val="24"/>
          <w:szCs w:val="24"/>
        </w:rPr>
        <w:t xml:space="preserve"> przebadany zgodnie z normami europejskimi faza 2 etap 2. Opakowanie 2l z odpowiednim przeliczeniem.</w:t>
      </w:r>
    </w:p>
    <w:p w:rsidR="00301C12" w:rsidRPr="00301C12" w:rsidRDefault="00301C12" w:rsidP="0093798C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 w:val="24"/>
          <w:szCs w:val="24"/>
        </w:rPr>
      </w:pPr>
      <w:r w:rsidRPr="00301C12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Odp.: Zamawiający podtrzymuje zapisy </w:t>
      </w:r>
      <w:proofErr w:type="spellStart"/>
      <w:r w:rsidRPr="00301C12">
        <w:rPr>
          <w:rFonts w:asciiTheme="majorHAnsi" w:hAnsiTheme="majorHAnsi" w:cs="Arial"/>
          <w:b/>
          <w:bCs/>
          <w:color w:val="000000"/>
          <w:sz w:val="24"/>
          <w:szCs w:val="24"/>
        </w:rPr>
        <w:t>swz</w:t>
      </w:r>
      <w:proofErr w:type="spellEnd"/>
      <w:r w:rsidRPr="00301C12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. </w:t>
      </w:r>
    </w:p>
    <w:p w:rsidR="0093798C" w:rsidRPr="0093798C" w:rsidRDefault="0093798C" w:rsidP="0093798C">
      <w:pPr>
        <w:pStyle w:val="NormalnyWeb"/>
        <w:jc w:val="both"/>
        <w:rPr>
          <w:rFonts w:asciiTheme="majorHAnsi" w:hAnsiTheme="majorHAnsi" w:cs="Arial"/>
        </w:rPr>
      </w:pPr>
    </w:p>
    <w:p w:rsidR="0093798C" w:rsidRPr="0093798C" w:rsidRDefault="0093798C" w:rsidP="0093798C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93798C">
        <w:rPr>
          <w:rFonts w:asciiTheme="majorHAnsi" w:hAnsiTheme="majorHAnsi" w:cs="Arial"/>
          <w:b/>
          <w:bCs/>
          <w:sz w:val="24"/>
          <w:szCs w:val="24"/>
        </w:rPr>
        <w:t>Pytanie ogólne</w:t>
      </w:r>
    </w:p>
    <w:p w:rsidR="0093798C" w:rsidRDefault="0093798C" w:rsidP="0093798C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/>
          <w:sz w:val="24"/>
          <w:szCs w:val="24"/>
        </w:rPr>
      </w:pPr>
      <w:r w:rsidRPr="0093798C">
        <w:rPr>
          <w:rFonts w:asciiTheme="majorHAnsi" w:hAnsiTheme="majorHAnsi"/>
          <w:sz w:val="24"/>
          <w:szCs w:val="24"/>
        </w:rPr>
        <w:t>W przypadku wyrażenia zgody na inne wielkości opakowań, prosimy o określenie , w jaki sposób należy podać ilość opakowań po przeliczeniu zapotrzebowania, czy wpisać ilość ułamkową , czy zaokrąglić w górę do pełnych opakowań, czy zgodnie z zasadami matematyki do 0,5 w dół, powyżej 0,5 w górę?</w:t>
      </w:r>
    </w:p>
    <w:p w:rsidR="00301C12" w:rsidRDefault="00301C12" w:rsidP="00301C12">
      <w:pPr>
        <w:pStyle w:val="Akapitzlist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301C12" w:rsidRDefault="00301C12" w:rsidP="00301C12">
      <w:pPr>
        <w:jc w:val="both"/>
        <w:rPr>
          <w:rFonts w:asciiTheme="majorHAnsi" w:hAnsiTheme="majorHAnsi"/>
          <w:b/>
          <w:sz w:val="24"/>
          <w:szCs w:val="24"/>
        </w:rPr>
      </w:pPr>
      <w:r w:rsidRPr="00301C12">
        <w:rPr>
          <w:rFonts w:asciiTheme="majorHAnsi" w:hAnsiTheme="majorHAnsi"/>
          <w:b/>
          <w:sz w:val="24"/>
          <w:szCs w:val="24"/>
        </w:rPr>
        <w:t xml:space="preserve">Odp.: Zamawiający podtrzymuje zapis </w:t>
      </w:r>
      <w:proofErr w:type="spellStart"/>
      <w:r w:rsidRPr="00301C12">
        <w:rPr>
          <w:rFonts w:asciiTheme="majorHAnsi" w:hAnsiTheme="majorHAnsi"/>
          <w:b/>
          <w:sz w:val="24"/>
          <w:szCs w:val="24"/>
        </w:rPr>
        <w:t>swz</w:t>
      </w:r>
      <w:proofErr w:type="spellEnd"/>
      <w:r w:rsidRPr="00301C12">
        <w:rPr>
          <w:rFonts w:asciiTheme="majorHAnsi" w:hAnsiTheme="majorHAnsi"/>
          <w:b/>
          <w:sz w:val="24"/>
          <w:szCs w:val="24"/>
        </w:rPr>
        <w:t xml:space="preserve">. </w:t>
      </w:r>
    </w:p>
    <w:p w:rsidR="00301C12" w:rsidRDefault="00301C12" w:rsidP="00301C12">
      <w:pPr>
        <w:jc w:val="right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sectPr w:rsidR="00301C12" w:rsidSect="00617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FE98B8"/>
    <w:multiLevelType w:val="hybridMultilevel"/>
    <w:tmpl w:val="62459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EE4E7"/>
    <w:multiLevelType w:val="hybridMultilevel"/>
    <w:tmpl w:val="5D51E7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220E96"/>
    <w:multiLevelType w:val="hybridMultilevel"/>
    <w:tmpl w:val="C0DA2746"/>
    <w:lvl w:ilvl="0" w:tplc="9EDE3D5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A6A55"/>
    <w:multiLevelType w:val="hybridMultilevel"/>
    <w:tmpl w:val="B6323792"/>
    <w:lvl w:ilvl="0" w:tplc="C23AC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B5F14"/>
    <w:rsid w:val="000D4AB8"/>
    <w:rsid w:val="00190071"/>
    <w:rsid w:val="0029489A"/>
    <w:rsid w:val="002B756F"/>
    <w:rsid w:val="002D24BB"/>
    <w:rsid w:val="003001BD"/>
    <w:rsid w:val="00301C12"/>
    <w:rsid w:val="0030417C"/>
    <w:rsid w:val="003100F7"/>
    <w:rsid w:val="003177A3"/>
    <w:rsid w:val="00321613"/>
    <w:rsid w:val="00397897"/>
    <w:rsid w:val="003B3051"/>
    <w:rsid w:val="0042302A"/>
    <w:rsid w:val="004733ED"/>
    <w:rsid w:val="00543A2A"/>
    <w:rsid w:val="00617472"/>
    <w:rsid w:val="00623E75"/>
    <w:rsid w:val="0066357B"/>
    <w:rsid w:val="0069448E"/>
    <w:rsid w:val="006C0616"/>
    <w:rsid w:val="006D2D6D"/>
    <w:rsid w:val="007D4E90"/>
    <w:rsid w:val="007D6DDC"/>
    <w:rsid w:val="007F58D9"/>
    <w:rsid w:val="007F7F58"/>
    <w:rsid w:val="008D3ECF"/>
    <w:rsid w:val="008F4AC9"/>
    <w:rsid w:val="0090423C"/>
    <w:rsid w:val="00926D2C"/>
    <w:rsid w:val="0093798C"/>
    <w:rsid w:val="0098423A"/>
    <w:rsid w:val="009D58CE"/>
    <w:rsid w:val="00A227D7"/>
    <w:rsid w:val="00A37B2B"/>
    <w:rsid w:val="00A66C45"/>
    <w:rsid w:val="00AA74D3"/>
    <w:rsid w:val="00AE416C"/>
    <w:rsid w:val="00AF243D"/>
    <w:rsid w:val="00B6500B"/>
    <w:rsid w:val="00BB37AC"/>
    <w:rsid w:val="00BB449B"/>
    <w:rsid w:val="00BC4958"/>
    <w:rsid w:val="00BE1B98"/>
    <w:rsid w:val="00C32BC0"/>
    <w:rsid w:val="00CB1E65"/>
    <w:rsid w:val="00CC08BA"/>
    <w:rsid w:val="00D37128"/>
    <w:rsid w:val="00FC603A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8E05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C0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3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ioutputtext">
    <w:name w:val="uioutputtext"/>
    <w:basedOn w:val="Domylnaczcionkaakapitu"/>
    <w:rsid w:val="0093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16DA7-0C4B-4B9F-A6DC-660EEA58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User</cp:lastModifiedBy>
  <cp:revision>5</cp:revision>
  <cp:lastPrinted>2024-05-22T12:11:00Z</cp:lastPrinted>
  <dcterms:created xsi:type="dcterms:W3CDTF">2024-05-21T08:31:00Z</dcterms:created>
  <dcterms:modified xsi:type="dcterms:W3CDTF">2024-05-22T12:11:00Z</dcterms:modified>
</cp:coreProperties>
</file>