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39" w:rsidRDefault="00987739" w:rsidP="00987739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01.09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3A6A6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3D537A" w:rsidRPr="003D537A" w:rsidRDefault="003D537A" w:rsidP="003D537A">
      <w:pPr>
        <w:spacing w:after="0" w:line="240" w:lineRule="auto"/>
        <w:jc w:val="center"/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536D37" wp14:editId="6291D648">
            <wp:extent cx="1920240" cy="647700"/>
            <wp:effectExtent l="0" t="0" r="3810" b="0"/>
            <wp:docPr id="5" name="Obraz 5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B1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drawing>
          <wp:inline distT="0" distB="0" distL="0" distR="0" wp14:anchorId="0FD67960" wp14:editId="31FB1CF6">
            <wp:extent cx="2110740" cy="632460"/>
            <wp:effectExtent l="0" t="0" r="3810" b="0"/>
            <wp:docPr id="6" name="Obraz 6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39" w:rsidRPr="003A6A64" w:rsidRDefault="00987739" w:rsidP="0098773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E01A585" wp14:editId="4037AD78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39" w:rsidRPr="003A6A64" w:rsidRDefault="00987739" w:rsidP="0098773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87739" w:rsidRPr="003A6A64" w:rsidRDefault="00987739" w:rsidP="0098773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87739" w:rsidRPr="003A6A64" w:rsidRDefault="00987739" w:rsidP="0098773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87739" w:rsidRPr="003A6A64" w:rsidRDefault="00987739" w:rsidP="0098773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87739" w:rsidRPr="003A6A64" w:rsidRDefault="00987739" w:rsidP="00987739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987739" w:rsidRPr="003A6A64" w:rsidRDefault="00987739" w:rsidP="00987739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56</w:t>
      </w: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/2020</w:t>
      </w:r>
    </w:p>
    <w:p w:rsidR="00987739" w:rsidRPr="003A6A64" w:rsidRDefault="00987739" w:rsidP="0098773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87739" w:rsidRPr="003A6A64" w:rsidRDefault="00987739" w:rsidP="00987739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87739" w:rsidRPr="003A6A64" w:rsidRDefault="00987739" w:rsidP="00987739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„Dostawa artykułów ogrodniczych, sprzętu ogrodniczego i środków ochrony roślin na potrzeby UKW” </w:t>
      </w:r>
    </w:p>
    <w:p w:rsidR="00987739" w:rsidRPr="003A6A64" w:rsidRDefault="00987739" w:rsidP="0098773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987739" w:rsidRPr="003A6A64" w:rsidRDefault="00987739" w:rsidP="0098773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artykułów ogrodniczych, sprzętu ogrodniczego i środków ochrony roślin na potrzeby UKW. 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5 części. Wykonawca może złożyć ofertę na pięć części zamówienia, czyli na całość zamówienia lub na jedną z części zamówienia, z zastrzeżeniem, iż oferta w każdej części powinna być pełna. Każda część będzie oceniana osobno przez Zamawiającego. 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-  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2 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%  wynagrodzenia brutto za każdy rozpoczęty dzień opóźnienia w wykonaniu przedmiotu zamówienia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lastRenderedPageBreak/>
        <w:t xml:space="preserve">- 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2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% wynagrodzenia brutto za każdy rozpoczęty dzień opóźnienia w usunięciu wad stwierdzonych i  zgłoszonych po otrzymaniu przedmiotu zamówienia.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4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</w:t>
      </w:r>
      <w:r w:rsidR="003D537A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one  w przepisach powszechnych.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3D537A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5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 razie stwierdzenia przez Zamawiającego w okresie obowiązywania gwarancji wad                         w dostarczonym przedmiocie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zamówienia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Wykonawca zobowiązuje się do usunięcia wad lub dokonania nieodpłatnej wymiany rzeczy na taka samą ilość rzeczy wolnych od wad w terminie 5 dni od daty zgłoszenia wady.</w:t>
      </w:r>
    </w:p>
    <w:p w:rsidR="00987739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3D537A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6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527367" w:rsidRPr="00527367" w:rsidRDefault="00987739" w:rsidP="00527367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10F48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3D537A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7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</w:t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Zamawiający dopuszcza zaoferowanie towarów równoważnych do wskazanych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br/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w specyfikacji (formularzu cenowym). </w:t>
      </w:r>
      <w:r w:rsidR="00527367" w:rsidRP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Przywołanie nazwy produktu, nazwy producenta, numeru katalogowego jest doprecyzowaniem opisu przedmiotu zamów</w:t>
      </w:r>
      <w:r w:rsid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ienia</w:t>
      </w:r>
      <w:r w:rsidR="00527367" w:rsidRP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. Równoważny przedmiot zamówienia musi posiadać takie same parametry techniczne lub wyższe parametry jakościowe jak towary wskazanych producentów.</w:t>
      </w:r>
    </w:p>
    <w:p w:rsidR="00527367" w:rsidRDefault="00527367" w:rsidP="00527367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527367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Wykonawca oferujący towary równoważne zobowiązany jest do dołączenia do oferty wiarygodnych dokumentów potwierdzających jednoznaczne spełnienie określonych wymagań równoważności (certyfikat, specyfikacja techniczna)</w:t>
      </w:r>
    </w:p>
    <w:p w:rsidR="00987739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987739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3D537A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8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 </w:t>
      </w:r>
      <w:r w:rsidRPr="00987739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Cały asortyment ma być dostarczony pod wskazany adres z wniesieniem do pomieszczeń wskazanych przez zamawiającego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:</w:t>
      </w:r>
    </w:p>
    <w:p w:rsidR="00987739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987739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Godziny dostaw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od 08:00 do 14:00.</w:t>
      </w:r>
    </w:p>
    <w:p w:rsidR="00987739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b) Adresy dostaw: Ossolińskich 12, Chodkiewicza 30, </w:t>
      </w:r>
      <w:r w:rsidRPr="00987739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Sportowa 2.</w:t>
      </w:r>
    </w:p>
    <w:p w:rsidR="003D537A" w:rsidRPr="003A6A64" w:rsidRDefault="003D537A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D537A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3.9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 I część zamówienia </w:t>
      </w:r>
      <w:r w:rsidRPr="003D537A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finansowan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</w:t>
      </w:r>
      <w:r w:rsidRPr="003D537A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jest w ramach projektu pn. Program Ministra Nauki i Szkolnictwa Wyższego w ramach programu pod nazwą "Regionalna Inicjatywa Doskonałości" Nazwa projektu: Nauki biologiczne podstawą intensywnego i zrównoważonego rozwoju Uniwersytetu Kazimierza Wielkiego.</w:t>
      </w:r>
    </w:p>
    <w:p w:rsidR="00987739" w:rsidRPr="003A6A64" w:rsidRDefault="00987739" w:rsidP="0098773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987739" w:rsidRPr="003A6A64" w:rsidRDefault="00987739" w:rsidP="00987739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przesłania zlecenia.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87739" w:rsidRPr="003A6A64" w:rsidRDefault="00987739" w:rsidP="0098773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987739" w:rsidRPr="003A6A64" w:rsidRDefault="00987739" w:rsidP="0098773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987739" w:rsidRPr="003A6A64" w:rsidRDefault="00987739" w:rsidP="0098773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987739" w:rsidRPr="003A6A64" w:rsidRDefault="00987739" w:rsidP="0098773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987739" w:rsidRPr="003A6A64" w:rsidRDefault="00987739" w:rsidP="0098773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987739" w:rsidRPr="003A6A64" w:rsidRDefault="00987739" w:rsidP="0098773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987739" w:rsidRPr="003A6A64" w:rsidRDefault="00987739" w:rsidP="0098773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987739" w:rsidRPr="003A6A64" w:rsidTr="00313D5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739" w:rsidRPr="003A6A64" w:rsidRDefault="00987739" w:rsidP="00313D59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987739" w:rsidRPr="003A6A64" w:rsidTr="00313D5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739" w:rsidRPr="003A6A64" w:rsidRDefault="00987739" w:rsidP="00313D5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987739" w:rsidRPr="003A6A64" w:rsidTr="00313D5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739" w:rsidRPr="003A6A64" w:rsidRDefault="00987739" w:rsidP="00313D59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739" w:rsidRPr="003A6A64" w:rsidRDefault="00987739" w:rsidP="00313D59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987739" w:rsidRPr="003A6A64" w:rsidTr="00313D59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739" w:rsidRPr="003A6A64" w:rsidRDefault="00987739" w:rsidP="00313D59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987739" w:rsidRPr="003A6A64" w:rsidRDefault="00987739" w:rsidP="0098773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987739" w:rsidRPr="003A6A64" w:rsidRDefault="00987739" w:rsidP="0098773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987739" w:rsidRPr="003A6A64" w:rsidRDefault="00987739" w:rsidP="0098773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87739" w:rsidRPr="003A6A64" w:rsidRDefault="00987739" w:rsidP="0098773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987739" w:rsidRPr="003A6A64" w:rsidRDefault="00987739" w:rsidP="0098773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87739" w:rsidRPr="003A6A64" w:rsidRDefault="00987739" w:rsidP="00987739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987739" w:rsidRPr="003A6A64" w:rsidRDefault="00987739" w:rsidP="00987739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987739" w:rsidRPr="003A6A64" w:rsidRDefault="00987739" w:rsidP="00987739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3A6A6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</w:t>
      </w:r>
      <w:r w:rsidRPr="00BA1055">
        <w:rPr>
          <w:rFonts w:ascii="Book Antiqua" w:eastAsia="Times New Roman" w:hAnsi="Book Antiqua" w:cs="Century Gothic"/>
          <w:sz w:val="20"/>
          <w:szCs w:val="20"/>
          <w:lang w:eastAsia="ar-SA"/>
        </w:rPr>
        <w:t>realizacji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w badanej ofercie</w:t>
      </w:r>
    </w:p>
    <w:p w:rsidR="00987739" w:rsidRPr="003A6A64" w:rsidRDefault="00987739" w:rsidP="00987739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987739" w:rsidRPr="003A6A64" w:rsidTr="00313D59">
        <w:trPr>
          <w:trHeight w:val="871"/>
        </w:trPr>
        <w:tc>
          <w:tcPr>
            <w:tcW w:w="2943" w:type="dxa"/>
            <w:hideMark/>
          </w:tcPr>
          <w:p w:rsidR="00987739" w:rsidRPr="003A6A64" w:rsidRDefault="00987739" w:rsidP="00313D5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</w:tcPr>
          <w:p w:rsidR="00987739" w:rsidRPr="003A6A64" w:rsidRDefault="00987739" w:rsidP="0098773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87739" w:rsidRPr="003A6A64" w:rsidRDefault="00987739" w:rsidP="0098773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 dni kalendarzowych</w:t>
            </w:r>
          </w:p>
        </w:tc>
        <w:tc>
          <w:tcPr>
            <w:tcW w:w="1843" w:type="dxa"/>
          </w:tcPr>
          <w:p w:rsidR="00987739" w:rsidRPr="003A6A64" w:rsidRDefault="00987739" w:rsidP="0098773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87739" w:rsidRPr="003A6A64" w:rsidRDefault="00987739" w:rsidP="0098773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 dni kalendarzowych</w:t>
            </w:r>
          </w:p>
        </w:tc>
        <w:tc>
          <w:tcPr>
            <w:tcW w:w="1984" w:type="dxa"/>
          </w:tcPr>
          <w:p w:rsidR="00987739" w:rsidRPr="003A6A64" w:rsidRDefault="00987739" w:rsidP="0098773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87739" w:rsidRPr="003A6A64" w:rsidRDefault="00987739" w:rsidP="0098773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14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kalendarzowych</w:t>
            </w:r>
          </w:p>
        </w:tc>
      </w:tr>
      <w:tr w:rsidR="00987739" w:rsidRPr="003A6A64" w:rsidTr="00313D59">
        <w:tc>
          <w:tcPr>
            <w:tcW w:w="2943" w:type="dxa"/>
            <w:hideMark/>
          </w:tcPr>
          <w:p w:rsidR="00987739" w:rsidRPr="003A6A64" w:rsidRDefault="00987739" w:rsidP="00313D5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hideMark/>
          </w:tcPr>
          <w:p w:rsidR="00987739" w:rsidRPr="003A6A64" w:rsidRDefault="00987739" w:rsidP="00313D5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hideMark/>
          </w:tcPr>
          <w:p w:rsidR="00987739" w:rsidRPr="003A6A64" w:rsidRDefault="00987739" w:rsidP="00313D5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hideMark/>
          </w:tcPr>
          <w:p w:rsidR="00987739" w:rsidRPr="003A6A64" w:rsidRDefault="00987739" w:rsidP="00313D5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987739" w:rsidRPr="003A6A64" w:rsidRDefault="00987739" w:rsidP="00987739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87739" w:rsidRPr="003A6A64" w:rsidRDefault="00987739" w:rsidP="00987739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87739" w:rsidRPr="003A6A64" w:rsidRDefault="00987739" w:rsidP="00987739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kalendarzowych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a maksymalny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14 dni 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kalendarzowych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dnia przesłania zlecenia do dostarczenia towaru przez Wykonawcę do miejsca wskazanego przez Zamawiającego. Wykonawca, który złoży ofertę z najkrótszym terminem dostawy otrzyma w tym kryterium 20 pkt.</w:t>
      </w:r>
    </w:p>
    <w:p w:rsidR="00987739" w:rsidRPr="003A6A64" w:rsidRDefault="00987739" w:rsidP="00987739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987739" w:rsidRPr="003A6A64" w:rsidRDefault="00987739" w:rsidP="00987739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987739" w:rsidRPr="003A6A64" w:rsidRDefault="00987739" w:rsidP="0098773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987739" w:rsidRPr="003A6A64" w:rsidRDefault="00987739" w:rsidP="0098773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987739" w:rsidRPr="003A6A64" w:rsidRDefault="00987739" w:rsidP="0098773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A6A6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987739" w:rsidRPr="003A6A64" w:rsidRDefault="00987739" w:rsidP="00987739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987739" w:rsidRPr="003A6A64" w:rsidRDefault="00987739" w:rsidP="00987739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987739" w:rsidRPr="003A6A64" w:rsidRDefault="00987739" w:rsidP="00987739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987739" w:rsidRPr="003A6A64" w:rsidRDefault="00987739" w:rsidP="009877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987739" w:rsidRPr="003A6A64" w:rsidRDefault="00987739" w:rsidP="0098773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313D59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87739" w:rsidRPr="003A6A64" w:rsidRDefault="00987739" w:rsidP="0098773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987739" w:rsidRPr="003A6A64" w:rsidRDefault="00987739" w:rsidP="00313D5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</w:t>
      </w:r>
      <w:r w:rsidR="00313D59">
        <w:rPr>
          <w:rFonts w:ascii="Book Antiqua" w:eastAsia="Times New Roman" w:hAnsi="Book Antiqua" w:cs="Times New Roman"/>
          <w:sz w:val="20"/>
          <w:szCs w:val="20"/>
          <w:lang w:eastAsia="pl-PL"/>
        </w:rPr>
        <w:t>ch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formularz</w:t>
      </w:r>
      <w:r w:rsidR="00313D59">
        <w:rPr>
          <w:rFonts w:ascii="Book Antiqua" w:eastAsia="Times New Roman" w:hAnsi="Book Antiqua" w:cs="Times New Roman"/>
          <w:sz w:val="20"/>
          <w:szCs w:val="20"/>
          <w:lang w:eastAsia="pl-PL"/>
        </w:rPr>
        <w:t>ach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, w formie elektronicznej, w języku polskim, podpisany formularz ofertowy i inne dokumenty należy zeskanować i wysłać drogą elektroniczną używając platformy zakupowej.</w:t>
      </w:r>
    </w:p>
    <w:p w:rsidR="00987739" w:rsidRPr="003A6A64" w:rsidRDefault="00987739" w:rsidP="009877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87739" w:rsidRPr="003A6A64" w:rsidRDefault="00987739" w:rsidP="009877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87739" w:rsidRPr="003A6A64" w:rsidRDefault="00987739" w:rsidP="009877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87739" w:rsidRPr="003A6A64" w:rsidRDefault="00987739" w:rsidP="0098773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87739" w:rsidRPr="003A6A64" w:rsidRDefault="00987739" w:rsidP="00987739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987739" w:rsidRPr="003A6A64" w:rsidRDefault="00987739" w:rsidP="0098773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87739" w:rsidRPr="003A6A64" w:rsidTr="00313D59">
        <w:trPr>
          <w:trHeight w:val="778"/>
        </w:trPr>
        <w:tc>
          <w:tcPr>
            <w:tcW w:w="1440" w:type="dxa"/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987739" w:rsidRPr="003A6A64" w:rsidRDefault="00313D59" w:rsidP="00313D5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07.09</w:t>
            </w:r>
            <w:r w:rsidR="00987739"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987739" w:rsidRPr="003A6A64" w:rsidRDefault="00987739" w:rsidP="00313D59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3A6A6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987739" w:rsidRPr="003A6A64" w:rsidRDefault="00987739" w:rsidP="009877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987739" w:rsidRPr="003A6A64" w:rsidRDefault="00987739" w:rsidP="009877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</w:t>
      </w:r>
      <w:r w:rsidRPr="00313D59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u w:val="single"/>
          <w:lang w:eastAsia="ar-SA"/>
        </w:rPr>
        <w:t>„za zgodność z oryginałem”</w:t>
      </w: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). </w:t>
      </w:r>
    </w:p>
    <w:p w:rsidR="00987739" w:rsidRPr="003A6A64" w:rsidRDefault="00987739" w:rsidP="00987739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zamówienia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 przelewem w terminie do 30 dni licząc od daty wpływu do siedziby Uczelni prawidłowo wystawionego rachunku/faktury.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987739" w:rsidRPr="003A6A64" w:rsidRDefault="00987739" w:rsidP="0098773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987739" w:rsidRPr="003A6A64" w:rsidRDefault="00987739" w:rsidP="0098773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987739" w:rsidRPr="003A6A64" w:rsidRDefault="00987739" w:rsidP="0098773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3A6A6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987739" w:rsidRPr="003A6A64" w:rsidRDefault="00987739" w:rsidP="0098773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87739" w:rsidRPr="003A6A64" w:rsidRDefault="00987739" w:rsidP="00987739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987739" w:rsidRPr="003A6A64" w:rsidRDefault="00987739" w:rsidP="0098773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987739" w:rsidRPr="003A6A64" w:rsidRDefault="00987739" w:rsidP="0098773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987739" w:rsidRPr="003A6A64" w:rsidRDefault="00987739" w:rsidP="0098773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A6A64">
        <w:rPr>
          <w:rFonts w:ascii="Book Antiqua" w:eastAsia="Times New Roman" w:hAnsi="Book Antiqua" w:cs="Arial"/>
          <w:sz w:val="20"/>
          <w:szCs w:val="20"/>
        </w:rPr>
        <w:t>.</w:t>
      </w: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3A6A64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>
        <w:rPr>
          <w:rFonts w:ascii="Book Antiqua" w:eastAsia="Times New Roman" w:hAnsi="Book Antiqua" w:cs="Arial"/>
          <w:sz w:val="20"/>
          <w:szCs w:val="20"/>
        </w:rPr>
        <w:br/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987739" w:rsidRPr="003A6A64" w:rsidRDefault="00987739" w:rsidP="00987739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87739" w:rsidRPr="003A6A64" w:rsidRDefault="00987739" w:rsidP="0098773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3A6A64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987739" w:rsidRPr="003A6A64" w:rsidRDefault="00987739" w:rsidP="00987739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9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987739" w:rsidRPr="003A6A64" w:rsidRDefault="00987739" w:rsidP="00987739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10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987739" w:rsidRPr="003A6A64" w:rsidRDefault="00987739" w:rsidP="0098773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987739" w:rsidRPr="00E456D7" w:rsidRDefault="00987739" w:rsidP="0098773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</w:p>
    <w:p w:rsidR="00987739" w:rsidRPr="00E456D7" w:rsidRDefault="00987739" w:rsidP="0098773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E456D7" w:rsidRDefault="00313D59" w:rsidP="00987739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56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987739" w:rsidRPr="00E456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Pr="00E456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987739" w:rsidRPr="00E456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                                                                                                      </w:t>
      </w:r>
    </w:p>
    <w:p w:rsidR="00987739" w:rsidRPr="00E456D7" w:rsidRDefault="00987739" w:rsidP="009877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56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13D59" w:rsidRPr="00E456D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Mariola Majorkowska</w:t>
      </w:r>
    </w:p>
    <w:p w:rsidR="00987739" w:rsidRPr="00E456D7" w:rsidRDefault="00987739" w:rsidP="00987739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987739" w:rsidRPr="00E456D7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bookmarkEnd w:id="0"/>
    <w:p w:rsidR="00987739" w:rsidRPr="00313D59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 w:themeColor="text1"/>
          <w:sz w:val="20"/>
          <w:szCs w:val="20"/>
          <w:lang w:eastAsia="pl-PL"/>
        </w:rPr>
      </w:pPr>
    </w:p>
    <w:p w:rsidR="00987739" w:rsidRPr="00313D59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 w:themeColor="text1"/>
          <w:sz w:val="20"/>
          <w:szCs w:val="20"/>
          <w:lang w:eastAsia="pl-PL"/>
        </w:rPr>
      </w:pPr>
    </w:p>
    <w:p w:rsidR="00987739" w:rsidRPr="00313D59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 w:themeColor="text1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0640E" w:rsidRDefault="0040640E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142A30" w:rsidRPr="003A6A64" w:rsidRDefault="00142A30" w:rsidP="00987739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987739" w:rsidRPr="003A6A64" w:rsidRDefault="00987739" w:rsidP="00987739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987739" w:rsidRPr="003A6A64" w:rsidRDefault="00987739" w:rsidP="00987739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</w:t>
      </w:r>
      <w:r w:rsidR="00313D59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ANIA OFERTOWEGO UKW-DZP-282-ZO-5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6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</w:t>
      </w:r>
      <w:r w:rsidR="00313D5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7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</w:t>
      </w:r>
      <w:r w:rsidR="0093591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i dostarczeniem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przedmiotu zamówienia.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313D5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987739" w:rsidRPr="003A6A64" w:rsidRDefault="00987739" w:rsidP="00987739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987739" w:rsidRPr="003A6A64" w:rsidRDefault="00987739" w:rsidP="00987739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7739" w:rsidRPr="003A6A64" w:rsidRDefault="00987739" w:rsidP="00987739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87739" w:rsidRPr="003A6A64" w:rsidRDefault="00987739" w:rsidP="00987739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987739" w:rsidRPr="003A6A64" w:rsidRDefault="00987739" w:rsidP="00987739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  <w:sectPr w:rsidR="00987739" w:rsidRPr="003A6A64">
          <w:pgSz w:w="11906" w:h="16838"/>
          <w:pgMar w:top="1417" w:right="1417" w:bottom="1417" w:left="1417" w:header="708" w:footer="708" w:gutter="0"/>
          <w:cols w:space="708"/>
        </w:sect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987739" w:rsidRPr="003A6A64" w:rsidRDefault="00987739" w:rsidP="0098773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987739" w:rsidRDefault="00987739" w:rsidP="0098773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38778E" w:rsidRDefault="0038778E" w:rsidP="0098773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38778E" w:rsidRPr="003A6A64" w:rsidRDefault="0038778E" w:rsidP="00987739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987739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p w:rsidR="0038778E" w:rsidRPr="003A6A64" w:rsidRDefault="0038778E" w:rsidP="0098773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987739" w:rsidRPr="003A6A64" w:rsidTr="00313D59">
        <w:trPr>
          <w:trHeight w:val="702"/>
        </w:trPr>
        <w:tc>
          <w:tcPr>
            <w:tcW w:w="178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313D59" w:rsidRPr="003A6A64" w:rsidTr="00313D59">
        <w:trPr>
          <w:trHeight w:val="707"/>
        </w:trPr>
        <w:tc>
          <w:tcPr>
            <w:tcW w:w="178" w:type="pct"/>
            <w:hideMark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13D59" w:rsidRPr="00307AD2" w:rsidRDefault="00313D5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(min. 50 l).,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</w:tcPr>
          <w:p w:rsidR="00313D59" w:rsidRPr="00307AD2" w:rsidRDefault="00313D5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13D59" w:rsidRPr="00307AD2" w:rsidRDefault="00313D5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13D59" w:rsidRPr="003A6A64" w:rsidTr="00313D59">
        <w:trPr>
          <w:trHeight w:val="556"/>
        </w:trPr>
        <w:tc>
          <w:tcPr>
            <w:tcW w:w="178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313D59" w:rsidRPr="00307AD2" w:rsidRDefault="00313D5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Bambus, 60 cm wysokości, fi 6-8 mm, jako podpórka do roślin.</w:t>
            </w:r>
          </w:p>
        </w:tc>
        <w:tc>
          <w:tcPr>
            <w:tcW w:w="205" w:type="pct"/>
          </w:tcPr>
          <w:p w:rsidR="00313D59" w:rsidRPr="00307AD2" w:rsidRDefault="00313D59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13D59" w:rsidRPr="00307AD2" w:rsidRDefault="00313D59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10</w:t>
            </w:r>
          </w:p>
        </w:tc>
        <w:tc>
          <w:tcPr>
            <w:tcW w:w="854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13D59" w:rsidRPr="003A6A64" w:rsidRDefault="00313D5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87739" w:rsidRPr="003A6A64" w:rsidRDefault="00987739" w:rsidP="00987739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3D59" w:rsidRDefault="00313D5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3D59" w:rsidRDefault="00313D5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13D59" w:rsidRDefault="00313D5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7AD2" w:rsidRDefault="00307AD2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07AD2" w:rsidRDefault="00307AD2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8778E" w:rsidRDefault="0038778E" w:rsidP="0098773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 część zamówienia:</w:t>
      </w: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987739" w:rsidRPr="003A6A64" w:rsidTr="00313D59">
        <w:trPr>
          <w:trHeight w:val="702"/>
        </w:trPr>
        <w:tc>
          <w:tcPr>
            <w:tcW w:w="178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307AD2" w:rsidRPr="003A6A64" w:rsidTr="00313D59">
        <w:trPr>
          <w:trHeight w:val="841"/>
        </w:trPr>
        <w:tc>
          <w:tcPr>
            <w:tcW w:w="178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optymalna do rozwoju roślin ogrodowych (50 l.),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05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07AD2" w:rsidRPr="00307AD2" w:rsidRDefault="00307AD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07AD2">
        <w:trPr>
          <w:trHeight w:val="700"/>
        </w:trPr>
        <w:tc>
          <w:tcPr>
            <w:tcW w:w="178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Keramzyt ogrodniczy 15 l., frakcja 8-16 mm.</w:t>
            </w:r>
          </w:p>
        </w:tc>
        <w:tc>
          <w:tcPr>
            <w:tcW w:w="205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07AD2" w:rsidRPr="00307AD2" w:rsidRDefault="00307AD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54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13D59">
        <w:trPr>
          <w:trHeight w:val="414"/>
        </w:trPr>
        <w:tc>
          <w:tcPr>
            <w:tcW w:w="178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Żwirek akwarystyczny 25 kg., frakcja 3-5 mm, naturalny piasek, neutralny, biały (bez barwników).</w:t>
            </w:r>
          </w:p>
        </w:tc>
        <w:tc>
          <w:tcPr>
            <w:tcW w:w="205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3</w:t>
            </w:r>
          </w:p>
        </w:tc>
        <w:tc>
          <w:tcPr>
            <w:tcW w:w="854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07AD2">
        <w:trPr>
          <w:trHeight w:val="1094"/>
        </w:trPr>
        <w:tc>
          <w:tcPr>
            <w:tcW w:w="178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Konewka 10 l., wyprofilowany uchwyt, zdejmowane sitko, tworzywo odporne na temperaturę i promieniowanie UV.</w:t>
            </w:r>
          </w:p>
        </w:tc>
        <w:tc>
          <w:tcPr>
            <w:tcW w:w="205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</w:tc>
        <w:tc>
          <w:tcPr>
            <w:tcW w:w="854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07AD2">
        <w:trPr>
          <w:trHeight w:val="1546"/>
        </w:trPr>
        <w:tc>
          <w:tcPr>
            <w:tcW w:w="178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34" w:type="pct"/>
          </w:tcPr>
          <w:p w:rsidR="00307AD2" w:rsidRPr="00307AD2" w:rsidRDefault="00307AD2" w:rsidP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Łopatka do kwiatów. Mała łopatka o szerokiej łyżce, wykonanej z wysokiej jakości stali nierdzewnej malowanej proszkowo. </w:t>
            </w:r>
          </w:p>
        </w:tc>
        <w:tc>
          <w:tcPr>
            <w:tcW w:w="205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1</w:t>
            </w:r>
          </w:p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13D59">
        <w:trPr>
          <w:trHeight w:val="841"/>
        </w:trPr>
        <w:tc>
          <w:tcPr>
            <w:tcW w:w="3280" w:type="pct"/>
            <w:gridSpan w:val="6"/>
            <w:hideMark/>
          </w:tcPr>
          <w:p w:rsidR="00307AD2" w:rsidRPr="003A6A64" w:rsidRDefault="00307AD2" w:rsidP="00313D5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987739" w:rsidRPr="003A6A64" w:rsidTr="00313D59">
        <w:trPr>
          <w:trHeight w:val="702"/>
        </w:trPr>
        <w:tc>
          <w:tcPr>
            <w:tcW w:w="175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307AD2" w:rsidRPr="003A6A64" w:rsidTr="00313D59">
        <w:trPr>
          <w:trHeight w:val="567"/>
        </w:trPr>
        <w:tc>
          <w:tcPr>
            <w:tcW w:w="175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Ziemia uniwersalna do kwiatów (60 l).,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pH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5,5-6,0.</w:t>
            </w:r>
          </w:p>
        </w:tc>
        <w:tc>
          <w:tcPr>
            <w:tcW w:w="241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307AD2" w:rsidRPr="00307AD2" w:rsidRDefault="00307AD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13D59">
        <w:trPr>
          <w:trHeight w:val="567"/>
        </w:trPr>
        <w:tc>
          <w:tcPr>
            <w:tcW w:w="175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Podpórka do roślin łuk 35x40 cm.</w:t>
            </w:r>
          </w:p>
        </w:tc>
        <w:tc>
          <w:tcPr>
            <w:tcW w:w="241" w:type="pct"/>
          </w:tcPr>
          <w:p w:rsidR="00307AD2" w:rsidRPr="00307AD2" w:rsidRDefault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307AD2" w:rsidRPr="00307AD2" w:rsidRDefault="00307AD2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</w:t>
            </w:r>
          </w:p>
        </w:tc>
        <w:tc>
          <w:tcPr>
            <w:tcW w:w="837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313D59">
        <w:trPr>
          <w:trHeight w:val="417"/>
        </w:trPr>
        <w:tc>
          <w:tcPr>
            <w:tcW w:w="3309" w:type="pct"/>
            <w:gridSpan w:val="6"/>
            <w:hideMark/>
          </w:tcPr>
          <w:p w:rsidR="00307AD2" w:rsidRPr="003A6A64" w:rsidRDefault="00307AD2" w:rsidP="00313D5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307AD2" w:rsidRPr="003A6A64" w:rsidRDefault="00307AD2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987739" w:rsidRPr="003A6A64" w:rsidTr="00313D59">
        <w:trPr>
          <w:trHeight w:val="702"/>
        </w:trPr>
        <w:tc>
          <w:tcPr>
            <w:tcW w:w="178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307AD2" w:rsidRPr="003A6A64" w:rsidTr="00313D59">
        <w:trPr>
          <w:trHeight w:val="566"/>
        </w:trPr>
        <w:tc>
          <w:tcPr>
            <w:tcW w:w="178" w:type="pct"/>
            <w:hideMark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07AD2" w:rsidRPr="00307AD2" w:rsidRDefault="00307AD2" w:rsidP="00307AD2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Środek chwastobójczy typu ”ROUNDAP”(koncentrat - </w:t>
            </w:r>
            <w:r w:rsidRPr="00307AD2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1l.</w:t>
            </w: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) do sporządzania roztworu wodnego stosowany dolistnie. Przeznaczony do zwalczania perzu oraz innych chwastów jednoliściennych i dwuliściennych (jednorocznych i wieloletnich).                                                     </w:t>
            </w:r>
          </w:p>
          <w:p w:rsidR="00307AD2" w:rsidRDefault="00307AD2" w:rsidP="00307AD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05" w:type="pct"/>
          </w:tcPr>
          <w:p w:rsidR="00307AD2" w:rsidRDefault="00307AD2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307AD2" w:rsidRDefault="00307AD2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987739" w:rsidRPr="003A6A64" w:rsidRDefault="00987739" w:rsidP="0098773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A6A64" w:rsidRDefault="00987739" w:rsidP="00987739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87739" w:rsidRPr="00307AD2" w:rsidRDefault="00307AD2" w:rsidP="00307AD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719"/>
        <w:gridCol w:w="708"/>
        <w:gridCol w:w="708"/>
        <w:gridCol w:w="2184"/>
        <w:gridCol w:w="1592"/>
        <w:gridCol w:w="1877"/>
        <w:gridCol w:w="978"/>
        <w:gridCol w:w="1951"/>
      </w:tblGrid>
      <w:tr w:rsidR="00987739" w:rsidRPr="003A6A64" w:rsidTr="009157A8">
        <w:trPr>
          <w:trHeight w:val="702"/>
        </w:trPr>
        <w:tc>
          <w:tcPr>
            <w:tcW w:w="176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8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768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59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4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987739" w:rsidRPr="003A6A64" w:rsidRDefault="00987739" w:rsidP="00313D59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307AD2" w:rsidRPr="003A6A64" w:rsidTr="009157A8">
        <w:trPr>
          <w:trHeight w:val="2969"/>
        </w:trPr>
        <w:tc>
          <w:tcPr>
            <w:tcW w:w="176" w:type="pct"/>
            <w:hideMark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8" w:type="pct"/>
          </w:tcPr>
          <w:p w:rsidR="009157A8" w:rsidRDefault="00307AD2" w:rsidP="009157A8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Środek chwastobójczy typu ROUNDAP 360 SL PLUS (</w:t>
            </w:r>
            <w:r w:rsidRPr="00307AD2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5 l</w:t>
            </w: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.) do sporządzania roztworu wodnego stosowany dolistnie. Przeznaczony do zwalczania perzu oraz innych chwastów jednoliściennych i dwuliściennych (jednorocznych i wieloletnich).       </w:t>
            </w:r>
          </w:p>
          <w:p w:rsidR="00307AD2" w:rsidRPr="00307AD2" w:rsidRDefault="00307AD2" w:rsidP="009157A8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                                          </w:t>
            </w:r>
          </w:p>
          <w:p w:rsidR="00307AD2" w:rsidRPr="00307AD2" w:rsidRDefault="00307AD2" w:rsidP="009157A8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glifosat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360g/l w postaci soli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izopropoloaminowej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równoważny.</w:t>
            </w:r>
          </w:p>
        </w:tc>
        <w:tc>
          <w:tcPr>
            <w:tcW w:w="249" w:type="pct"/>
          </w:tcPr>
          <w:p w:rsidR="00307AD2" w:rsidRDefault="00307AD2" w:rsidP="009157A8">
            <w:pPr>
              <w:spacing w:after="0"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307AD2" w:rsidRDefault="00307AD2" w:rsidP="009157A8">
            <w:pPr>
              <w:spacing w:after="0"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9157A8">
        <w:trPr>
          <w:trHeight w:val="3203"/>
        </w:trPr>
        <w:tc>
          <w:tcPr>
            <w:tcW w:w="176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308" w:type="pct"/>
          </w:tcPr>
          <w:p w:rsidR="00307AD2" w:rsidRPr="00307AD2" w:rsidRDefault="00307AD2" w:rsidP="009157A8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Zestaw zraszający do węża ¾ cala </w:t>
            </w:r>
            <w:proofErr w:type="spellStart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szybkozłączka</w:t>
            </w:r>
            <w:proofErr w:type="spellEnd"/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złącze+ zraszacz prosty.</w:t>
            </w:r>
          </w:p>
          <w:p w:rsidR="00307AD2" w:rsidRPr="00307AD2" w:rsidRDefault="00307AD2" w:rsidP="009157A8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307AD2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307AD2" w:rsidRPr="00307AD2" w:rsidRDefault="00E456D7" w:rsidP="009157A8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</w:rPr>
              <w:pict w14:anchorId="4AF7BF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ZESTAW ZRASZAJĄCY DO WĘŻA 3/4 SZYBKOZŁĄCZKA ZŁĄCZE" style="width:96pt;height:96pt;visibility:visible;mso-wrap-style:square">
                  <v:imagedata r:id="rId11" o:title="4 SZYBKOZŁĄCZKA ZŁĄCZE"/>
                </v:shape>
              </w:pict>
            </w:r>
          </w:p>
        </w:tc>
        <w:tc>
          <w:tcPr>
            <w:tcW w:w="249" w:type="pct"/>
          </w:tcPr>
          <w:p w:rsidR="00307AD2" w:rsidRDefault="00307AD2" w:rsidP="009157A8">
            <w:pPr>
              <w:spacing w:after="0"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307AD2" w:rsidRDefault="00307AD2" w:rsidP="009157A8">
            <w:pPr>
              <w:spacing w:after="0" w:line="256" w:lineRule="auto"/>
              <w:jc w:val="center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768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59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307AD2" w:rsidRPr="003A6A64" w:rsidRDefault="00307AD2" w:rsidP="009157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307AD2" w:rsidRPr="003A6A64" w:rsidTr="009157A8">
        <w:trPr>
          <w:trHeight w:val="417"/>
        </w:trPr>
        <w:tc>
          <w:tcPr>
            <w:tcW w:w="3310" w:type="pct"/>
            <w:gridSpan w:val="6"/>
            <w:hideMark/>
          </w:tcPr>
          <w:p w:rsidR="00307AD2" w:rsidRPr="003A6A64" w:rsidRDefault="00307AD2" w:rsidP="00313D5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4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307AD2" w:rsidRPr="003A6A64" w:rsidRDefault="00307AD2" w:rsidP="00313D5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987739" w:rsidRPr="003A6A64" w:rsidRDefault="00987739" w:rsidP="00987739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987739" w:rsidRPr="003A6A64" w:rsidRDefault="00987739" w:rsidP="0098773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87739" w:rsidRPr="00054B10" w:rsidRDefault="00987739" w:rsidP="0098773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sectPr w:rsidR="00987739" w:rsidRPr="00054B10" w:rsidSect="00313D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9"/>
    <w:rsid w:val="00104E03"/>
    <w:rsid w:val="00142A30"/>
    <w:rsid w:val="00307AD2"/>
    <w:rsid w:val="00313D59"/>
    <w:rsid w:val="0038778E"/>
    <w:rsid w:val="003D537A"/>
    <w:rsid w:val="0040640E"/>
    <w:rsid w:val="00511973"/>
    <w:rsid w:val="00527367"/>
    <w:rsid w:val="009157A8"/>
    <w:rsid w:val="0093591C"/>
    <w:rsid w:val="00987739"/>
    <w:rsid w:val="00E456D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majewski64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3716</Words>
  <Characters>22300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2020-09-01T11:10:00Z</cp:lastPrinted>
  <dcterms:created xsi:type="dcterms:W3CDTF">2020-09-01T09:46:00Z</dcterms:created>
  <dcterms:modified xsi:type="dcterms:W3CDTF">2020-09-01T11:11:00Z</dcterms:modified>
</cp:coreProperties>
</file>