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B" w:rsidRDefault="003C4DEB">
      <w:pPr>
        <w:pStyle w:val="Akapitzlist"/>
        <w:spacing w:after="0" w:line="240" w:lineRule="auto"/>
        <w:ind w:left="0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3C4DEB" w:rsidRDefault="0023291B">
      <w:pPr>
        <w:pStyle w:val="Akapitzlist"/>
        <w:spacing w:after="0" w:line="240" w:lineRule="auto"/>
        <w:ind w:left="142"/>
        <w:rPr>
          <w:rFonts w:cstheme="minorHAnsi"/>
          <w:b/>
          <w:bCs/>
          <w:sz w:val="24"/>
          <w:szCs w:val="20"/>
        </w:rPr>
      </w:pPr>
      <w:r>
        <w:rPr>
          <w:rFonts w:cstheme="minorHAnsi"/>
          <w:b/>
          <w:bCs/>
          <w:sz w:val="24"/>
          <w:szCs w:val="20"/>
        </w:rPr>
        <w:t>Szczegółowy opis techniczny przedmiotu zamówienia - FORMULARZ OFEROWANEGO SPRZĘTU</w:t>
      </w:r>
    </w:p>
    <w:p w:rsidR="003C4DEB" w:rsidRDefault="003C4DEB">
      <w:pPr>
        <w:spacing w:after="0" w:line="240" w:lineRule="auto"/>
        <w:rPr>
          <w:rFonts w:cstheme="minorHAnsi"/>
          <w:sz w:val="20"/>
          <w:szCs w:val="20"/>
        </w:rPr>
      </w:pPr>
    </w:p>
    <w:p w:rsidR="003C4DEB" w:rsidRDefault="0023291B">
      <w:pPr>
        <w:numPr>
          <w:ilvl w:val="0"/>
          <w:numId w:val="1"/>
        </w:numPr>
        <w:spacing w:after="0" w:line="240" w:lineRule="auto"/>
        <w:ind w:left="2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Komputer stacjonarny – 2  sztuki</w:t>
      </w:r>
    </w:p>
    <w:p w:rsidR="003C4DEB" w:rsidRDefault="003C4DEB">
      <w:pPr>
        <w:pStyle w:val="Akapitzlist1"/>
        <w:ind w:left="0" w:firstLine="2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065" w:type="dxa"/>
        <w:tblInd w:w="360" w:type="dxa"/>
        <w:tblLayout w:type="fixed"/>
        <w:tblLook w:val="04A0"/>
      </w:tblPr>
      <w:tblGrid>
        <w:gridCol w:w="836"/>
        <w:gridCol w:w="1744"/>
        <w:gridCol w:w="6097"/>
        <w:gridCol w:w="5388"/>
      </w:tblGrid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Wymagane parametry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minimalne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Procesor o wydajności osiągającej w teście Pass Mark CPU Mark wynik </w:t>
            </w:r>
            <w:r>
              <w:rPr>
                <w:rFonts w:cstheme="minorHAnsi"/>
                <w:sz w:val="20"/>
                <w:szCs w:val="20"/>
              </w:rPr>
              <w:br/>
              <w:t>o wartości co najmniej 7000 pkt.</w:t>
            </w:r>
          </w:p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  <w:p w:rsidR="003C4DEB" w:rsidRDefault="0023291B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Procesor oraz jego wynik  muszą być ujęte w tabeli znajdującej się w Załączniku Nr 5 do SWZ, która została pobrana ze strony:</w:t>
            </w:r>
          </w:p>
          <w:p w:rsidR="003C4DEB" w:rsidRDefault="003C4DE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8">
              <w:r w:rsidR="0023291B">
                <w:rPr>
                  <w:rStyle w:val="czeinternetowe"/>
                  <w:rFonts w:cstheme="minorHAnsi"/>
                  <w:color w:val="auto"/>
                  <w:sz w:val="20"/>
                  <w:szCs w:val="20"/>
                </w:rPr>
                <w:t>https://www.cpubenchmark.net/cpu_list.php</w:t>
              </w:r>
            </w:hyperlink>
          </w:p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przypadku, gdy zaproponowany zostanie procesor, którego wyniki testu wydajności nie zostały opublikowane na powyższej stronie, Wykonawca na wezwanie Zamawiającego zobowiązany będzi</w:t>
            </w:r>
            <w:r>
              <w:rPr>
                <w:rFonts w:cstheme="minorHAnsi"/>
                <w:sz w:val="20"/>
                <w:szCs w:val="20"/>
              </w:rPr>
              <w:t xml:space="preserve">e do złożenia dokumentu zawierającego wyniki testów w oparciu o powyższy test, udowadniające w sposób niebudzący wątpliwości, że oferowany procesor spełnia minimalne wymagania dot. punktów wymaganych przez Zamawiającego. Testy powinny być przeprowadzone w </w:t>
            </w:r>
            <w:r>
              <w:rPr>
                <w:rFonts w:cstheme="minorHAnsi"/>
                <w:sz w:val="20"/>
                <w:szCs w:val="20"/>
              </w:rPr>
              <w:t>systemie MS Windows 10. Nie dopuszcza się stosowania tzw. overclocking-u celem uzyskania wymaganej liczby punktów. Zamawiający zastrzega sobie, iż w celu sprawdzenia poprawności przeprowadzonych testów, może zażądać od Wykonawcy dostarczenia testowanego ze</w:t>
            </w:r>
            <w:r>
              <w:rPr>
                <w:rFonts w:cstheme="minorHAnsi"/>
                <w:sz w:val="20"/>
                <w:szCs w:val="20"/>
              </w:rPr>
              <w:t>stawu komputerowego,  oprogramowania testującego oraz dokładnych opisów użytych testów w terminie nie dłuższym niż 3 dni od otrzymania zawiadomienia od Zamawiającego.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i model procesora:</w:t>
            </w:r>
          </w:p>
          <w:p w:rsidR="003C4DEB" w:rsidRDefault="003C4DEB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cstheme="minorHAnsi"/>
                <w:sz w:val="20"/>
                <w:szCs w:val="20"/>
              </w:rPr>
            </w:pPr>
          </w:p>
          <w:p w:rsidR="003C4DEB" w:rsidRDefault="003C4DEB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cstheme="minorHAnsi"/>
                <w:sz w:val="20"/>
                <w:szCs w:val="20"/>
              </w:rPr>
            </w:pPr>
          </w:p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 punktów:</w:t>
            </w: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Dysk twardy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SSD, min. 240 GB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 xml:space="preserve"> GB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współdzielona z pamięcią systemową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Rodzaje wejść / wyjść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szt. USB (w tym min. 1 szt. USB 3.1 Gen 1)</w:t>
            </w:r>
          </w:p>
          <w:p w:rsidR="003C4DEB" w:rsidRDefault="0023291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szt. HDMI </w:t>
            </w:r>
          </w:p>
          <w:p w:rsidR="003C4DEB" w:rsidRDefault="0023291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 RJ-45/Ethernet port</w:t>
            </w:r>
          </w:p>
          <w:p w:rsidR="003C4DEB" w:rsidRDefault="0023291B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słuchawki/mikrofon jack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bookmarkStart w:id="1" w:name="_Hlk47010058"/>
            <w:bookmarkEnd w:id="1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Wi-Fi 802.11 a/b/g/n/ac</w:t>
            </w:r>
          </w:p>
          <w:p w:rsidR="003C4DEB" w:rsidRDefault="0023291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Bluetooth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en-US" w:eastAsia="pl-PL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pl-PL"/>
              </w:rPr>
              <w:t xml:space="preserve">System </w:t>
            </w:r>
            <w:r>
              <w:rPr>
                <w:rFonts w:cstheme="minorHAnsi"/>
                <w:b/>
                <w:sz w:val="20"/>
                <w:szCs w:val="20"/>
                <w:lang w:val="en-US" w:eastAsia="pl-PL"/>
              </w:rPr>
              <w:t>operacyjny i dodatkowe oprogramowanie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Microsoft Windows 10 Pro 64-bit lub równoważny. </w:t>
            </w:r>
          </w:p>
          <w:p w:rsidR="003C4DEB" w:rsidRDefault="0023291B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Microsoft Office Standard 2019 MOLP EDU lub inne oprogramowanie równoważne</w:t>
            </w:r>
            <w:r>
              <w:rPr>
                <w:rFonts w:cstheme="minorHAnsi"/>
                <w:sz w:val="20"/>
                <w:szCs w:val="20"/>
                <w:lang w:eastAsia="pl-PL"/>
              </w:rPr>
              <w:t>.</w:t>
            </w:r>
          </w:p>
          <w:p w:rsidR="003C4DEB" w:rsidRDefault="0023291B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Opis równoważności znajduje się w punkcie 4) Załącznika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en-US" w:eastAsia="pl-PL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pl-PL"/>
              </w:rPr>
              <w:t>Dołączone akcesoria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kabel </w:t>
            </w:r>
            <w:r>
              <w:rPr>
                <w:rFonts w:cstheme="minorHAnsi"/>
                <w:sz w:val="20"/>
                <w:szCs w:val="20"/>
              </w:rPr>
              <w:t>zasilający, instrukcja obsługi, karta gwarancyjna, klawiatura bezprzewodowa, mysz bezprzewodowa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3C4DEB" w:rsidRDefault="003C4DEB">
      <w:pPr>
        <w:spacing w:after="0" w:line="240" w:lineRule="auto"/>
        <w:ind w:left="220"/>
        <w:rPr>
          <w:rFonts w:cstheme="minorHAnsi"/>
          <w:b/>
          <w:bCs/>
          <w:sz w:val="20"/>
          <w:szCs w:val="20"/>
        </w:rPr>
      </w:pPr>
    </w:p>
    <w:p w:rsidR="003C4DEB" w:rsidRDefault="0023291B">
      <w:pPr>
        <w:numPr>
          <w:ilvl w:val="0"/>
          <w:numId w:val="1"/>
        </w:numPr>
        <w:spacing w:after="0" w:line="240" w:lineRule="auto"/>
        <w:ind w:left="2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Monitor do komputera</w:t>
      </w:r>
    </w:p>
    <w:tbl>
      <w:tblPr>
        <w:tblW w:w="14029" w:type="dxa"/>
        <w:tblInd w:w="421" w:type="dxa"/>
        <w:tblLayout w:type="fixed"/>
        <w:tblCellMar>
          <w:left w:w="5" w:type="dxa"/>
          <w:right w:w="5" w:type="dxa"/>
        </w:tblCellMar>
        <w:tblLook w:val="04A0"/>
      </w:tblPr>
      <w:tblGrid>
        <w:gridCol w:w="709"/>
        <w:gridCol w:w="1842"/>
        <w:gridCol w:w="6096"/>
        <w:gridCol w:w="5382"/>
      </w:tblGrid>
      <w:tr w:rsidR="003C4DEB">
        <w:trPr>
          <w:trHeight w:val="5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Tekstpodstawowy"/>
              <w:widowControl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Tekstpodstawowy"/>
              <w:widowControl w:val="0"/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Tekstpodstawowy"/>
              <w:widowControl w:val="0"/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Wymagane parametry minimalne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Tekstpodstawowy"/>
              <w:widowControl w:val="0"/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Opis parametrów i warunków oferowanych</w:t>
            </w:r>
          </w:p>
        </w:tc>
      </w:tr>
      <w:tr w:rsidR="003C4D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Przekątna ekranu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21,5” w formacie </w:t>
            </w:r>
            <w:r>
              <w:rPr>
                <w:color w:val="FF0000"/>
                <w:sz w:val="20"/>
                <w:szCs w:val="20"/>
              </w:rPr>
              <w:t>16:9 Full HD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rPr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Jasność ekranu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250 cd/m2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rPr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Czas reakcji matrycy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Max 1ms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rPr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Częstotliwość odświeżania ekranu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 Hz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rPr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Kontrast statyczny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1000:1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rPr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Kontrast dynamiczny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100 000 000:1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rPr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Kąt widzenia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178 stopni/178 stopni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rPr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Złącza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VGA, 2xHDMI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rPr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Inne</w:t>
            </w:r>
          </w:p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Redukcja migotania (Flicker free), Filtr światła niebieskiego, AMD Free-Sync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rPr>
                <w:color w:val="FF0000"/>
                <w:sz w:val="20"/>
                <w:szCs w:val="20"/>
              </w:rPr>
            </w:pPr>
          </w:p>
        </w:tc>
      </w:tr>
      <w:tr w:rsidR="003C4DEB">
        <w:trPr>
          <w:trHeight w:val="1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 zestawie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 instrukcja obsługi</w:t>
            </w:r>
          </w:p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kabel zasilający</w:t>
            </w:r>
          </w:p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kabel VGA</w:t>
            </w:r>
          </w:p>
          <w:p w:rsidR="003C4DEB" w:rsidRDefault="0023291B">
            <w:pPr>
              <w:pStyle w:val="Zawartotabeli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kabel HDMI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B" w:rsidRDefault="003C4DEB">
            <w:pPr>
              <w:pStyle w:val="Zawartotabeli"/>
              <w:rPr>
                <w:color w:val="FF0000"/>
                <w:sz w:val="20"/>
                <w:szCs w:val="20"/>
              </w:rPr>
            </w:pPr>
          </w:p>
        </w:tc>
      </w:tr>
    </w:tbl>
    <w:p w:rsidR="003C4DEB" w:rsidRDefault="003C4DEB">
      <w:pPr>
        <w:spacing w:after="0" w:line="240" w:lineRule="auto"/>
        <w:ind w:left="220"/>
        <w:rPr>
          <w:color w:val="FF0000"/>
          <w:sz w:val="20"/>
          <w:szCs w:val="20"/>
        </w:rPr>
      </w:pPr>
    </w:p>
    <w:p w:rsidR="003C4DEB" w:rsidRDefault="003C4DEB">
      <w:pPr>
        <w:spacing w:after="0" w:line="240" w:lineRule="auto"/>
        <w:ind w:left="220"/>
        <w:rPr>
          <w:rFonts w:cstheme="minorHAnsi"/>
          <w:sz w:val="20"/>
          <w:szCs w:val="20"/>
        </w:rPr>
      </w:pPr>
    </w:p>
    <w:p w:rsidR="003C4DEB" w:rsidRDefault="0023291B">
      <w:pPr>
        <w:numPr>
          <w:ilvl w:val="0"/>
          <w:numId w:val="1"/>
        </w:numPr>
        <w:spacing w:after="0" w:line="240" w:lineRule="auto"/>
        <w:ind w:left="2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Monitor interaktywny – </w:t>
      </w:r>
      <w:r>
        <w:rPr>
          <w:rFonts w:eastAsia="Calibri" w:cstheme="minorHAnsi"/>
          <w:b/>
          <w:bCs/>
          <w:sz w:val="20"/>
          <w:szCs w:val="20"/>
        </w:rPr>
        <w:t>6</w:t>
      </w:r>
      <w:r>
        <w:rPr>
          <w:rFonts w:cstheme="minorHAnsi"/>
          <w:b/>
          <w:bCs/>
          <w:sz w:val="20"/>
          <w:szCs w:val="20"/>
        </w:rPr>
        <w:t xml:space="preserve"> sztuk</w:t>
      </w:r>
    </w:p>
    <w:p w:rsidR="003C4DEB" w:rsidRDefault="003C4DEB">
      <w:pPr>
        <w:pStyle w:val="Akapitzlist1"/>
        <w:ind w:left="0" w:firstLine="2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065" w:type="dxa"/>
        <w:tblInd w:w="360" w:type="dxa"/>
        <w:tblLayout w:type="fixed"/>
        <w:tblLook w:val="04A0"/>
      </w:tblPr>
      <w:tblGrid>
        <w:gridCol w:w="826"/>
        <w:gridCol w:w="1951"/>
        <w:gridCol w:w="5997"/>
        <w:gridCol w:w="5291"/>
      </w:tblGrid>
      <w:tr w:rsidR="003C4DEB">
        <w:trPr>
          <w:trHeight w:val="2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Opis</w:t>
            </w:r>
            <w:r>
              <w:rPr>
                <w:rFonts w:cstheme="minorHAnsi"/>
                <w:b/>
                <w:iCs/>
                <w:sz w:val="20"/>
                <w:szCs w:val="20"/>
              </w:rPr>
              <w:t xml:space="preserve"> parametrów i warunków oferowanych</w:t>
            </w:r>
          </w:p>
        </w:tc>
      </w:tr>
      <w:tr w:rsidR="003C4DEB">
        <w:trPr>
          <w:trHeight w:val="2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Wyświetlacz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LED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Przekątna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65 cali w formacie 16:9 (obszar aktywny ekranu)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Jasność (cd/m2)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370 cd/m2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Kontrast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4000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Czas reakcji matrycy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="Calibri"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color w:val="FF0000"/>
                <w:sz w:val="20"/>
                <w:szCs w:val="20"/>
              </w:rPr>
              <w:t xml:space="preserve">Max </w:t>
            </w:r>
            <w:r>
              <w:rPr>
                <w:rFonts w:eastAsia="Calibri" w:cstheme="minorHAnsi"/>
                <w:bCs/>
                <w:color w:val="FF0000"/>
                <w:sz w:val="20"/>
                <w:szCs w:val="20"/>
              </w:rPr>
              <w:t>8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 xml:space="preserve"> ms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Rozdzielczość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4k (3840 x 2160 Pikseli)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Technologia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Dotykowa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wbudowany system operacyjny obsługujący wszystkie podzespoły urządzenia, system operacyjny w języku Polskim,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Typy złączy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min 1 x USB, min 1 x HDMI, min 1 x 3,5mm out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Głośnik lub głośniki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2 x 15W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Inne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możliwość podłączenia zewnętrznego komputera za pomocą USB, </w:t>
            </w:r>
          </w:p>
          <w:p w:rsidR="003C4DEB" w:rsidRDefault="002329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funkcja multi-touch min. 10 punktów dotyków, Obsługa monitora za pomocą załączonych pisaków i za pomocą palca (w zestawie z monitorem min. dwa pisaki),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Wspierane systemy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operacyjne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Win</w:t>
            </w:r>
            <w:r>
              <w:rPr>
                <w:rFonts w:cstheme="minorHAnsi"/>
                <w:bCs/>
                <w:sz w:val="20"/>
                <w:szCs w:val="20"/>
              </w:rPr>
              <w:t>dows 10, 8.1, 7, Linux,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 zestawie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EB" w:rsidRDefault="002329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 system mocowania monitora na ścianie, </w:t>
            </w:r>
          </w:p>
          <w:p w:rsidR="003C4DEB" w:rsidRDefault="002329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 kabel zasilający o długości min. 3m, </w:t>
            </w:r>
          </w:p>
          <w:p w:rsidR="003C4DEB" w:rsidRDefault="002329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 kabel VGA o długości min. 3 m,</w:t>
            </w:r>
          </w:p>
          <w:p w:rsidR="003C4DEB" w:rsidRDefault="002329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 kabel audio o długości min. 5m, </w:t>
            </w:r>
          </w:p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- 1x kabel USB o długości min 5m, </w:t>
            </w:r>
          </w:p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- 1x kabel HDMI o długości min 5m, </w:t>
            </w:r>
          </w:p>
          <w:p w:rsidR="003C4DEB" w:rsidRDefault="002329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 pilot zdalnego sterowania, min. </w:t>
            </w:r>
          </w:p>
          <w:p w:rsidR="003C4DEB" w:rsidRDefault="0023291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- 2 x </w:t>
            </w:r>
            <w:r>
              <w:rPr>
                <w:rFonts w:cstheme="minorHAnsi"/>
                <w:sz w:val="20"/>
                <w:szCs w:val="20"/>
              </w:rPr>
              <w:t>bezbateryjny pisak przeznaczony do dotykowej obsługi monitora, pochodzący od tego samego producenta co monitor,</w:t>
            </w:r>
          </w:p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1x uchwyt na pisak przymocowany do monitora, </w:t>
            </w:r>
          </w:p>
          <w:p w:rsidR="003C4DEB" w:rsidRDefault="0023291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 skrócona instrukcja</w:t>
            </w:r>
            <w:r>
              <w:rPr>
                <w:rFonts w:cstheme="minorHAnsi"/>
                <w:bCs/>
                <w:sz w:val="20"/>
                <w:szCs w:val="20"/>
              </w:rPr>
              <w:t xml:space="preserve"> obsługi, płytka/nośnik z oprogramowaniem</w:t>
            </w:r>
          </w:p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 sterownikami,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</w:tbl>
    <w:p w:rsidR="003C4DEB" w:rsidRDefault="003C4DEB">
      <w:pPr>
        <w:pStyle w:val="Akapitzlist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</w:p>
    <w:p w:rsidR="003C4DEB" w:rsidRDefault="003C4DEB">
      <w:pPr>
        <w:pStyle w:val="Akapitzlist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</w:p>
    <w:p w:rsidR="003C4DEB" w:rsidRDefault="0023291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Mobilny komputer PC (</w:t>
      </w:r>
      <w:r>
        <w:rPr>
          <w:rFonts w:cstheme="minorHAnsi"/>
          <w:b/>
          <w:bCs/>
          <w:color w:val="FF0000"/>
          <w:sz w:val="20"/>
          <w:szCs w:val="20"/>
        </w:rPr>
        <w:t>Mini PC</w:t>
      </w:r>
      <w:r>
        <w:rPr>
          <w:rFonts w:cstheme="minorHAnsi"/>
          <w:b/>
          <w:bCs/>
          <w:sz w:val="20"/>
          <w:szCs w:val="20"/>
        </w:rPr>
        <w:t>) – 4 sztuki</w:t>
      </w:r>
    </w:p>
    <w:p w:rsidR="003C4DEB" w:rsidRDefault="003C4DEB">
      <w:pPr>
        <w:pStyle w:val="Akapitzlist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</w:p>
    <w:tbl>
      <w:tblPr>
        <w:tblW w:w="14065" w:type="dxa"/>
        <w:tblInd w:w="360" w:type="dxa"/>
        <w:tblLayout w:type="fixed"/>
        <w:tblLook w:val="04A0"/>
      </w:tblPr>
      <w:tblGrid>
        <w:gridCol w:w="836"/>
        <w:gridCol w:w="1744"/>
        <w:gridCol w:w="6097"/>
        <w:gridCol w:w="5388"/>
      </w:tblGrid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Wymagane parametry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minimalne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Procesor o wydajności osiągającej w teście Pass Mark CPU Mark wynik o wartości co najmniej </w:t>
            </w:r>
            <w:r>
              <w:rPr>
                <w:rFonts w:cstheme="minorHAnsi"/>
                <w:color w:val="FF0000"/>
                <w:sz w:val="20"/>
                <w:szCs w:val="20"/>
              </w:rPr>
              <w:t>4 650 pkt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  <w:p w:rsidR="003C4DEB" w:rsidRDefault="0023291B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Procesor oraz jego wynik  muszą być ujęte w tabeli znajdującej się w Załączniku Nr 5 do SWZ, która została pobrana ze strony:</w:t>
            </w:r>
          </w:p>
          <w:p w:rsidR="003C4DEB" w:rsidRDefault="003C4DE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">
              <w:r w:rsidR="0023291B">
                <w:rPr>
                  <w:rStyle w:val="czeinternetowe"/>
                  <w:rFonts w:cstheme="minorHAnsi"/>
                  <w:color w:val="auto"/>
                  <w:sz w:val="20"/>
                  <w:szCs w:val="20"/>
                </w:rPr>
                <w:t>https://www.cpubenchmark.net/cpu_list.php</w:t>
              </w:r>
            </w:hyperlink>
          </w:p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przypadku, gdy zaproponowany zostanie procesor, którego wyniki testu wydajności nie zostały opublikowane na powyższej stronie, Wykonawca na wezwanie Zamawiającego zobowiązany będzi</w:t>
            </w:r>
            <w:r>
              <w:rPr>
                <w:rFonts w:cstheme="minorHAnsi"/>
                <w:sz w:val="20"/>
                <w:szCs w:val="20"/>
              </w:rPr>
              <w:t xml:space="preserve">e do złożenia dokumentu zawierającego wyniki testów w oparciu o powyższy test, udowadniające w sposób niebudzący wątpliwości, że oferowany procesor spełnia minimalne wymagania dot. punktów wymaganych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przez Zamawiającego. Testy powinny być przeprowadzone w </w:t>
            </w:r>
            <w:r>
              <w:rPr>
                <w:rFonts w:cstheme="minorHAnsi"/>
                <w:sz w:val="20"/>
                <w:szCs w:val="20"/>
              </w:rPr>
              <w:t>systemie MS Windows 10. Nie dopuszcza się stosowania tzw. overclocking-u celem uzyskania wymaganej liczby punktów. Zamawiający zastrzega sobie, iż w celu sprawdzenia poprawności przeprowadzonych testów, może zażądać od Wykonawcy dostarczenia testowanego ze</w:t>
            </w:r>
            <w:r>
              <w:rPr>
                <w:rFonts w:cstheme="minorHAnsi"/>
                <w:sz w:val="20"/>
                <w:szCs w:val="20"/>
              </w:rPr>
              <w:t>stawu komputerowego,  oprogramowania testującego oraz dokładnych opisów użytych testów w terminie nie dłuższym niż 3 dni od otrzymania zawiadomienia od Zamawiającego.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Nazwa i model procesora:</w:t>
            </w:r>
          </w:p>
          <w:p w:rsidR="003C4DEB" w:rsidRDefault="003C4DEB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cstheme="minorHAnsi"/>
                <w:sz w:val="20"/>
                <w:szCs w:val="20"/>
              </w:rPr>
            </w:pPr>
          </w:p>
          <w:p w:rsidR="003C4DEB" w:rsidRDefault="003C4DEB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cstheme="minorHAnsi"/>
                <w:sz w:val="20"/>
                <w:szCs w:val="20"/>
              </w:rPr>
            </w:pPr>
          </w:p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 punktów:</w:t>
            </w: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Dysk twardy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SSD, min. 240 GB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 </w:t>
            </w:r>
            <w:r>
              <w:rPr>
                <w:rFonts w:cstheme="minorHAnsi"/>
                <w:sz w:val="20"/>
                <w:szCs w:val="20"/>
              </w:rPr>
              <w:t>GB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współdzielona z pamięcią systemową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Rodzaje wejść / wyjść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szt. USB 3.0</w:t>
            </w:r>
          </w:p>
          <w:p w:rsidR="003C4DEB" w:rsidRDefault="0023291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szt. HDMI </w:t>
            </w:r>
          </w:p>
          <w:p w:rsidR="003C4DEB" w:rsidRDefault="0023291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 RJ-45/Ethernet port</w:t>
            </w:r>
          </w:p>
          <w:p w:rsidR="003C4DEB" w:rsidRDefault="0023291B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słuchawki/mikrofon jack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en-US" w:eastAsia="pl-PL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pl-PL"/>
              </w:rPr>
              <w:t>System operacyjny i dodatkowe oprogramowanie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Microsoft Windows 10 Pro 64-bit lub równoważny. </w:t>
            </w:r>
          </w:p>
          <w:p w:rsidR="003C4DEB" w:rsidRDefault="0023291B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Microsoft Office Standard 2019 MOLP EDU lub inne oprogramowanie równoważne</w:t>
            </w:r>
            <w:r>
              <w:rPr>
                <w:rFonts w:cstheme="minorHAnsi"/>
                <w:sz w:val="20"/>
                <w:szCs w:val="20"/>
                <w:lang w:eastAsia="pl-PL"/>
              </w:rPr>
              <w:t>.</w:t>
            </w:r>
          </w:p>
          <w:p w:rsidR="003C4DEB" w:rsidRDefault="0023291B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Opis równoważności znajduje się w punkcie 4) Załącznika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en-US" w:eastAsia="pl-PL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pl-PL"/>
              </w:rPr>
              <w:t>Dołączone akcesoria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kabel zasilający, instrukcja obsługi, karta </w:t>
            </w:r>
            <w:r>
              <w:rPr>
                <w:rFonts w:cstheme="minorHAnsi"/>
                <w:sz w:val="20"/>
                <w:szCs w:val="20"/>
              </w:rPr>
              <w:t>gwarancyjna, klawiatura bezprzewodowa, mysz bezprzewodowa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3C4DEB" w:rsidRDefault="003C4DEB">
      <w:pPr>
        <w:pStyle w:val="Akapitzlist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</w:p>
    <w:p w:rsidR="003C4DEB" w:rsidRDefault="003C4DEB">
      <w:pPr>
        <w:pStyle w:val="Akapitzlist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</w:p>
    <w:p w:rsidR="003C4DEB" w:rsidRDefault="0023291B">
      <w:pPr>
        <w:pStyle w:val="Akapitzlist"/>
        <w:spacing w:after="0" w:line="240" w:lineRule="auto"/>
        <w:ind w:left="425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5) Projektor multimedialny- 1 sztuka</w:t>
      </w:r>
    </w:p>
    <w:p w:rsidR="003C4DEB" w:rsidRDefault="003C4DEB">
      <w:pPr>
        <w:pStyle w:val="Akapitzlist"/>
        <w:spacing w:after="0" w:line="240" w:lineRule="auto"/>
        <w:ind w:left="425"/>
        <w:rPr>
          <w:rFonts w:cstheme="minorHAnsi"/>
          <w:b/>
          <w:bCs/>
          <w:sz w:val="20"/>
          <w:szCs w:val="20"/>
        </w:rPr>
      </w:pPr>
    </w:p>
    <w:tbl>
      <w:tblPr>
        <w:tblW w:w="14065" w:type="dxa"/>
        <w:tblInd w:w="360" w:type="dxa"/>
        <w:tblLayout w:type="fixed"/>
        <w:tblLook w:val="04A0"/>
      </w:tblPr>
      <w:tblGrid>
        <w:gridCol w:w="836"/>
        <w:gridCol w:w="1744"/>
        <w:gridCol w:w="6097"/>
        <w:gridCol w:w="5388"/>
      </w:tblGrid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Wymagane parametry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minimalne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Ansi Lumen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1920 x 1080 Full HD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obrazu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30 - 300 cali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15000 : 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eko 1</w:t>
            </w:r>
            <w:r>
              <w:rPr>
                <w:color w:val="FF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000h</w:t>
            </w:r>
          </w:p>
          <w:p w:rsidR="003C4DEB" w:rsidRDefault="002329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standard 6 000h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widowControl w:val="0"/>
              <w:spacing w:after="4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Wyjście audio - 1 szt.</w:t>
            </w:r>
          </w:p>
          <w:p w:rsidR="003C4DEB" w:rsidRDefault="0023291B">
            <w:pPr>
              <w:widowControl w:val="0"/>
              <w:spacing w:after="4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HDMI - 1 szt.</w:t>
            </w:r>
          </w:p>
          <w:p w:rsidR="003C4DEB" w:rsidRDefault="0023291B">
            <w:pPr>
              <w:widowControl w:val="0"/>
              <w:spacing w:after="4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USB 2.0 - 1 szt.</w:t>
            </w:r>
          </w:p>
          <w:p w:rsidR="003C4DEB" w:rsidRDefault="0023291B">
            <w:pPr>
              <w:widowControl w:val="0"/>
              <w:spacing w:after="4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USB typ B - 1 szt.</w:t>
            </w:r>
          </w:p>
          <w:p w:rsidR="003C4DEB" w:rsidRDefault="0023291B">
            <w:pPr>
              <w:widowControl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AC in (wejście zasilania) - 1 szt.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suma wymiarów (wysokość, szerokość, długość) </w:t>
            </w:r>
            <w:r>
              <w:rPr>
                <w:sz w:val="20"/>
                <w:szCs w:val="20"/>
              </w:rPr>
              <w:br/>
              <w:t>– 720 mm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C4DEB">
        <w:trPr>
          <w:trHeight w:val="284"/>
        </w:trPr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10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Zestaw</w:t>
            </w:r>
          </w:p>
        </w:tc>
        <w:tc>
          <w:tcPr>
            <w:tcW w:w="6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Pilot</w:t>
            </w:r>
          </w:p>
          <w:p w:rsidR="003C4DEB" w:rsidRDefault="0023291B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kabel</w:t>
            </w:r>
          </w:p>
          <w:p w:rsidR="003C4DEB" w:rsidRDefault="0023291B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baterie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3C4DEB" w:rsidRDefault="003C4DEB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:rsidR="003C4DEB" w:rsidRDefault="0023291B">
      <w:pPr>
        <w:pStyle w:val="Akapitzlist"/>
        <w:spacing w:after="0" w:line="240" w:lineRule="auto"/>
        <w:ind w:left="142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t xml:space="preserve">6) </w:t>
      </w:r>
      <w:r w:rsidR="00695DA9">
        <w:rPr>
          <w:rFonts w:cstheme="minorHAnsi"/>
          <w:b/>
          <w:bCs/>
          <w:color w:val="FF0000"/>
          <w:sz w:val="20"/>
          <w:szCs w:val="20"/>
        </w:rPr>
        <w:t>L</w:t>
      </w:r>
      <w:r>
        <w:rPr>
          <w:rFonts w:cstheme="minorHAnsi"/>
          <w:b/>
          <w:bCs/>
          <w:color w:val="FF0000"/>
          <w:sz w:val="20"/>
          <w:szCs w:val="20"/>
        </w:rPr>
        <w:t>aptop 1 szt.</w:t>
      </w:r>
    </w:p>
    <w:p w:rsidR="003C4DEB" w:rsidRDefault="003C4DEB">
      <w:pPr>
        <w:pStyle w:val="Akapitzlist"/>
        <w:spacing w:after="0" w:line="240" w:lineRule="auto"/>
        <w:ind w:left="142"/>
        <w:rPr>
          <w:rFonts w:cstheme="minorHAnsi"/>
          <w:b/>
          <w:bCs/>
          <w:color w:val="FF0000"/>
          <w:sz w:val="20"/>
          <w:szCs w:val="20"/>
        </w:rPr>
      </w:pPr>
    </w:p>
    <w:tbl>
      <w:tblPr>
        <w:tblW w:w="14000" w:type="dxa"/>
        <w:tblInd w:w="411" w:type="dxa"/>
        <w:tblLayout w:type="fixed"/>
        <w:tblLook w:val="04A0"/>
      </w:tblPr>
      <w:tblGrid>
        <w:gridCol w:w="776"/>
        <w:gridCol w:w="1757"/>
        <w:gridCol w:w="6085"/>
        <w:gridCol w:w="5382"/>
      </w:tblGrid>
      <w:tr w:rsidR="003C4DE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Nazwa funkcji / parametru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Wymagane parametry 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minimalne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FF0000"/>
                <w:sz w:val="20"/>
                <w:szCs w:val="20"/>
              </w:rPr>
              <w:t>Opis parametrów i warunków oferowanych</w:t>
            </w:r>
          </w:p>
        </w:tc>
      </w:tr>
      <w:tr w:rsidR="003C4DE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5"/>
              </w:numPr>
              <w:spacing w:after="16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Procesor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Procesor o wydajności osiągającej w teście Pass Mark CPU Mark wynik o wartości co najmniej 5 000 pkt. </w:t>
            </w:r>
          </w:p>
          <w:p w:rsidR="003C4DEB" w:rsidRDefault="003C4DEB">
            <w:pPr>
              <w:pStyle w:val="Akapitzlist"/>
              <w:widowControl w:val="0"/>
              <w:spacing w:after="0" w:line="240" w:lineRule="auto"/>
              <w:ind w:left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3C4DEB" w:rsidRDefault="0023291B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Procesor oraz jego wynik  muszą być ujęte w tabeli znajdującej się w 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Załączniku Nr 5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do SIWZ, która została pobrana ze strony:</w:t>
            </w:r>
          </w:p>
          <w:p w:rsidR="003C4DEB" w:rsidRDefault="003C4DE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10">
              <w:r w:rsidR="0023291B">
                <w:rPr>
                  <w:rStyle w:val="czeinternetowe"/>
                  <w:rFonts w:cs="Times New Roman"/>
                  <w:color w:val="FF0000"/>
                  <w:sz w:val="20"/>
                  <w:szCs w:val="20"/>
                </w:rPr>
                <w:t>https://www.cpubenchmark.net/cpu_list.php</w:t>
              </w:r>
            </w:hyperlink>
            <w:hyperlink r:id="rId11"/>
          </w:p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W przypadku, gdy zaproponowany zostanie procesor, którego wyniki testu wydajności nie zostały opublikowane na powy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ższej stronie, Wykonawca na wezwanie Zamawiającego zobowiązany będzie do </w:t>
            </w: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>złożenia dokumentu zawierającego wyniki testów w oparciu o powyższy test, udowadniające w sposób niebudzący wątpliwości, że oferowany procesor spełnia minimalne wymagania dot. punktów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wymaganych przez Zamawiającego. Testy powinny być przeprowadzone w systemie MS Windows 10. Nie dopuszcza się stosowania tzw. overclocking-u celem uzyskania wymaganej liczby punktów. Zamawiający zastrzega sobie, iż w celu sprawdzenia poprawności przeprowad</w:t>
            </w:r>
            <w:r>
              <w:rPr>
                <w:rFonts w:cs="Times New Roman"/>
                <w:color w:val="FF0000"/>
                <w:sz w:val="20"/>
                <w:szCs w:val="20"/>
              </w:rPr>
              <w:t>zonych testów, może zażądać od Wykonawcy dostarczenia testowanego zestawu komputerowego,  oprogramowania testującego oraz dokładnych opisów użytych testów w terminie nie dłuższym niż 3 dni od otrzymania zawiadomienia od Zamawiającego.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>Nazwa i model proceso</w:t>
            </w:r>
            <w:r>
              <w:rPr>
                <w:rFonts w:cs="Times New Roman"/>
                <w:color w:val="FF0000"/>
                <w:sz w:val="20"/>
                <w:szCs w:val="20"/>
              </w:rPr>
              <w:t>ra:</w:t>
            </w:r>
          </w:p>
          <w:p w:rsidR="003C4DEB" w:rsidRDefault="003C4DEB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3C4DEB" w:rsidRDefault="003C4DEB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Ilość punktów:</w:t>
            </w:r>
          </w:p>
        </w:tc>
      </w:tr>
      <w:tr w:rsidR="003C4DE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5"/>
              </w:numPr>
              <w:spacing w:after="16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Dysk twardy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SSD, min. 240 GB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160" w:line="240" w:lineRule="auto"/>
              <w:ind w:left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5"/>
              </w:numPr>
              <w:spacing w:after="16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Pamięć RAM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4GB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160" w:line="240" w:lineRule="auto"/>
              <w:ind w:left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5"/>
              </w:numPr>
              <w:spacing w:after="16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Przekątna ekranu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15,6”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160" w:line="240" w:lineRule="auto"/>
              <w:ind w:left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widowControl w:val="0"/>
              <w:numPr>
                <w:ilvl w:val="0"/>
                <w:numId w:val="15"/>
              </w:num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Matryca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widowControl w:val="0"/>
              <w:spacing w:after="0" w:line="240" w:lineRule="auto"/>
              <w:ind w:left="425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IPS, </w:t>
            </w:r>
          </w:p>
          <w:p w:rsidR="003C4DEB" w:rsidRDefault="0023291B">
            <w:pPr>
              <w:widowControl w:val="0"/>
              <w:spacing w:after="0" w:line="240" w:lineRule="auto"/>
              <w:ind w:left="425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Antyodblaskowa</w:t>
            </w:r>
          </w:p>
          <w:p w:rsidR="003C4DEB" w:rsidRDefault="003C4DEB">
            <w:pPr>
              <w:widowControl w:val="0"/>
              <w:tabs>
                <w:tab w:val="left" w:pos="420"/>
              </w:tabs>
              <w:spacing w:line="240" w:lineRule="auto"/>
              <w:ind w:left="42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widowControl w:val="0"/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widowControl w:val="0"/>
              <w:numPr>
                <w:ilvl w:val="0"/>
                <w:numId w:val="15"/>
              </w:num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Natywna rozdzielczość ekranu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1920x1080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widowControl w:val="0"/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5"/>
              </w:numPr>
              <w:spacing w:after="16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Karta graficzna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Posiadająca złącze HDMI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160" w:line="240" w:lineRule="auto"/>
              <w:ind w:left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5"/>
              </w:numPr>
              <w:spacing w:after="16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  <w:lang w:eastAsia="pl-PL"/>
              </w:rPr>
              <w:t>Rodzaje wejść / wyjść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4 porty USB (w </w:t>
            </w:r>
            <w:r>
              <w:rPr>
                <w:rFonts w:cs="Times New Roman"/>
                <w:color w:val="FF0000"/>
                <w:sz w:val="20"/>
                <w:szCs w:val="20"/>
              </w:rPr>
              <w:t>tym przynajmniej 2 porty USB 3.0)</w:t>
            </w:r>
          </w:p>
          <w:p w:rsidR="003C4DEB" w:rsidRDefault="0023291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 port HDMI</w:t>
            </w:r>
          </w:p>
          <w:p w:rsidR="003C4DEB" w:rsidRDefault="0023291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 złącze RJ-45</w:t>
            </w:r>
          </w:p>
          <w:p w:rsidR="003C4DEB" w:rsidRDefault="0023291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 gniazdo słuchawkowe/wejście na mikrofon</w:t>
            </w:r>
          </w:p>
          <w:p w:rsidR="003C4DEB" w:rsidRDefault="0023291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 czytnik kart pamięci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160" w:line="240" w:lineRule="auto"/>
              <w:ind w:left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5"/>
              </w:numPr>
              <w:spacing w:after="16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Kamera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Wbudowana, o rozdzielczości minimum 0,92 Mpix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5"/>
              </w:numPr>
              <w:spacing w:after="16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  <w:lang w:eastAsia="pl-PL"/>
              </w:rPr>
              <w:t xml:space="preserve">Łączność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WiFi 802.11 ac</w:t>
            </w:r>
          </w:p>
          <w:p w:rsidR="003C4DEB" w:rsidRDefault="0023291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Bluetooth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160" w:line="240" w:lineRule="auto"/>
              <w:ind w:left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5"/>
              </w:numPr>
              <w:spacing w:after="16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  <w:lang w:val="en-US" w:eastAsia="pl-PL"/>
              </w:rPr>
              <w:t>Waga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n-US" w:eastAsia="pl-PL"/>
              </w:rPr>
              <w:t>Do 2kg.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160" w:line="240" w:lineRule="auto"/>
              <w:ind w:left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5"/>
              </w:numPr>
              <w:spacing w:after="16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  <w:lang w:val="en-US" w:eastAsia="pl-PL"/>
              </w:rPr>
              <w:t>System operacyjny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  <w:lang w:eastAsia="pl-PL"/>
              </w:rPr>
              <w:t>Microsoft Windows 10 Pro 64-bit lub równoważny. Opis równoważności znajduje się poniżej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160" w:line="240" w:lineRule="auto"/>
              <w:ind w:left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3C4DE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numPr>
                <w:ilvl w:val="0"/>
                <w:numId w:val="15"/>
              </w:numPr>
              <w:spacing w:after="16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spacing w:after="160"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  <w:lang w:val="en-US" w:eastAsia="pl-PL"/>
              </w:rPr>
              <w:t>Dołączone akcesoria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23291B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Zasilacz</w:t>
            </w:r>
          </w:p>
          <w:p w:rsidR="003C4DEB" w:rsidRDefault="0023291B">
            <w:pPr>
              <w:pStyle w:val="Akapitzlist"/>
              <w:widowControl w:val="0"/>
              <w:numPr>
                <w:ilvl w:val="0"/>
                <w:numId w:val="5"/>
              </w:numPr>
              <w:spacing w:after="160"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kabel RJ45 o długości 5m;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EB" w:rsidRDefault="003C4DEB">
            <w:pPr>
              <w:pStyle w:val="Akapitzlist"/>
              <w:widowControl w:val="0"/>
              <w:spacing w:after="160" w:line="240" w:lineRule="auto"/>
              <w:ind w:left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3C4DEB" w:rsidRDefault="003C4DEB">
      <w:pPr>
        <w:spacing w:after="0" w:line="240" w:lineRule="auto"/>
        <w:ind w:left="142"/>
        <w:contextualSpacing/>
        <w:rPr>
          <w:rFonts w:cstheme="minorHAnsi"/>
          <w:b/>
          <w:bCs/>
          <w:color w:val="FF0000"/>
          <w:sz w:val="20"/>
          <w:szCs w:val="20"/>
        </w:rPr>
      </w:pPr>
    </w:p>
    <w:p w:rsidR="003C4DEB" w:rsidRDefault="0023291B">
      <w:pPr>
        <w:pStyle w:val="Akapitzlist"/>
        <w:spacing w:after="0" w:line="240" w:lineRule="auto"/>
        <w:ind w:left="14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Pomoce dydaktyczne (sprzęt TIK) opisane w niniejszym przedmiocie zamówienia muszą spełniać następujące </w:t>
      </w:r>
      <w:r>
        <w:rPr>
          <w:rFonts w:cstheme="minorHAnsi"/>
          <w:b/>
          <w:bCs/>
          <w:sz w:val="20"/>
          <w:szCs w:val="20"/>
        </w:rPr>
        <w:t>warunki:</w:t>
      </w:r>
    </w:p>
    <w:p w:rsidR="003C4DEB" w:rsidRDefault="0023291B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posiadać deklarację CE lub równoważny;</w:t>
      </w:r>
    </w:p>
    <w:p w:rsidR="003C4DEB" w:rsidRDefault="0023291B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posiadać certyfikat ISO 9001 dla producenta lub równoważny;</w:t>
      </w:r>
    </w:p>
    <w:p w:rsidR="003C4DEB" w:rsidRDefault="0023291B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są fabrycznie nowe (wyprodukowane nie wcześniej niż 9 miesięcy przed dostawą) i wolne od obciążeń prawami osób trzecich;</w:t>
      </w:r>
    </w:p>
    <w:p w:rsidR="003C4DEB" w:rsidRDefault="0023291B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posiadają dołączone </w:t>
      </w:r>
      <w:r>
        <w:rPr>
          <w:rFonts w:cstheme="minorHAnsi"/>
          <w:sz w:val="20"/>
          <w:szCs w:val="20"/>
        </w:rPr>
        <w:t>niezbędne instrukcje i materiały dotyczące użytkowania, sporządzone w języku polskim;</w:t>
      </w:r>
    </w:p>
    <w:p w:rsidR="003C4DEB" w:rsidRDefault="0023291B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posiadają okres gwarancji udzielonej przez producenta lub dostawcę nie krótszy niż 2 lata;</w:t>
      </w:r>
    </w:p>
    <w:p w:rsidR="003C4DEB" w:rsidRDefault="0023291B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ramach dostawy Wykonawca zapewni montaż dostarczanego sprzętu, instalację, ur</w:t>
      </w:r>
      <w:r>
        <w:rPr>
          <w:rFonts w:cstheme="minorHAnsi"/>
          <w:sz w:val="20"/>
          <w:szCs w:val="20"/>
        </w:rPr>
        <w:t>uchomienie oraz zintegrowanie zakupionych urządzeń i oprogramowania z infrastrukturą szkolną</w:t>
      </w:r>
    </w:p>
    <w:p w:rsidR="003C4DEB" w:rsidRDefault="0023291B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ramach dostawy Wykonawca zapewni szkolenia techniczne nauczycieli w zakresie funkcji i obsługi dostarczonych urządzeń i oprogramowania.</w:t>
      </w:r>
    </w:p>
    <w:p w:rsidR="003C4DEB" w:rsidRDefault="003C4DEB">
      <w:pPr>
        <w:pStyle w:val="Akapitzlist"/>
        <w:spacing w:after="0" w:line="240" w:lineRule="auto"/>
        <w:ind w:left="142"/>
        <w:rPr>
          <w:rFonts w:cstheme="minorHAnsi"/>
          <w:b/>
          <w:bCs/>
          <w:sz w:val="20"/>
          <w:szCs w:val="20"/>
        </w:rPr>
      </w:pPr>
    </w:p>
    <w:p w:rsidR="003C4DEB" w:rsidRDefault="0023291B">
      <w:pPr>
        <w:pStyle w:val="Akapitzlist"/>
        <w:spacing w:after="0" w:line="240" w:lineRule="auto"/>
        <w:ind w:left="14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POZOSTAŁE WYMOGI WOBEC U</w:t>
      </w:r>
      <w:r>
        <w:rPr>
          <w:rFonts w:cstheme="minorHAnsi"/>
          <w:b/>
          <w:bCs/>
          <w:sz w:val="20"/>
          <w:szCs w:val="20"/>
        </w:rPr>
        <w:t>RZĄDZEŃ BĘDĄCYCH PRZEDMIOTEM ZAMÓWIENIA:</w:t>
      </w:r>
    </w:p>
    <w:p w:rsidR="003C4DEB" w:rsidRDefault="0023291B">
      <w:pPr>
        <w:pStyle w:val="Akapitzlist"/>
        <w:spacing w:after="0" w:line="240" w:lineRule="auto"/>
        <w:ind w:left="14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Zasady montażu urządzeń:</w:t>
      </w:r>
    </w:p>
    <w:p w:rsidR="003C4DEB" w:rsidRDefault="0023291B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Przewody niezbędne do prawidłowego działania zainstalowanych urządzeń mają być umieszczone w plastikowych korytkach – osłonach, przytwierdzonych w sposób trwały do ściany,</w:t>
      </w:r>
    </w:p>
    <w:p w:rsidR="003C4DEB" w:rsidRDefault="0023291B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Koszt materiałów z</w:t>
      </w:r>
      <w:r>
        <w:rPr>
          <w:rFonts w:cstheme="minorHAnsi"/>
          <w:sz w:val="20"/>
          <w:szCs w:val="20"/>
        </w:rPr>
        <w:t>wiązanych z montażem oraz innych materiałów niezbędnych do przeprowadzenia instalacji ponosi Wykonawca,</w:t>
      </w:r>
    </w:p>
    <w:p w:rsidR="003C4DEB" w:rsidRDefault="0023291B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zapewni bezpieczne warunki realizacji dostaw, w szczególności podczas prowadzenia montażu dostarczanego sprzętu i przestrzegania przepisów bhp</w:t>
      </w:r>
      <w:r>
        <w:rPr>
          <w:rFonts w:cstheme="minorHAnsi"/>
          <w:sz w:val="20"/>
          <w:szCs w:val="20"/>
        </w:rPr>
        <w:t>,</w:t>
      </w:r>
    </w:p>
    <w:p w:rsidR="003C4DEB" w:rsidRDefault="0023291B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zabezpieczy pomieszczenia (w których będzie odbywał się montaż dostarczonego wyposażenia) w taki sposób, aby w trakcie dostawy, oraz montażu nie uszkodzić elementów pracowni lekcyjnych, w tym ścian, podłóg,</w:t>
      </w:r>
    </w:p>
    <w:p w:rsidR="003C4DEB" w:rsidRDefault="0023291B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uporządkuje pracownie lekcy</w:t>
      </w:r>
      <w:r>
        <w:rPr>
          <w:rFonts w:cstheme="minorHAnsi"/>
          <w:sz w:val="20"/>
          <w:szCs w:val="20"/>
        </w:rPr>
        <w:t>jne po przeprowadzonych w nich pracach montażowych,</w:t>
      </w:r>
    </w:p>
    <w:p w:rsidR="003C4DEB" w:rsidRDefault="003C4DEB">
      <w:pPr>
        <w:pStyle w:val="Akapitzlist"/>
        <w:spacing w:after="0" w:line="240" w:lineRule="auto"/>
        <w:ind w:left="142"/>
        <w:rPr>
          <w:rFonts w:cstheme="minorHAnsi"/>
          <w:b/>
          <w:bCs/>
          <w:sz w:val="20"/>
          <w:szCs w:val="20"/>
        </w:rPr>
      </w:pPr>
    </w:p>
    <w:p w:rsidR="003C4DEB" w:rsidRDefault="0023291B">
      <w:pPr>
        <w:pStyle w:val="Akapitzlist"/>
        <w:numPr>
          <w:ilvl w:val="0"/>
          <w:numId w:val="1"/>
        </w:numPr>
        <w:spacing w:after="0" w:line="240" w:lineRule="auto"/>
        <w:ind w:left="14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RÓWNOWAŻNOŚĆ:</w:t>
      </w:r>
    </w:p>
    <w:p w:rsidR="003C4DEB" w:rsidRDefault="0023291B">
      <w:pPr>
        <w:tabs>
          <w:tab w:val="left" w:pos="425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Oprogramowanie Windows 10 Pro 64-bit - opis równoważności:</w:t>
      </w:r>
    </w:p>
    <w:p w:rsidR="003C4DEB" w:rsidRDefault="0023291B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Dostępne dwa rodzaje graficznego interfejsu użytkownika:</w:t>
      </w:r>
    </w:p>
    <w:p w:rsidR="003C4DEB" w:rsidRDefault="0023291B">
      <w:pPr>
        <w:pStyle w:val="Akapitzlist"/>
        <w:numPr>
          <w:ilvl w:val="0"/>
          <w:numId w:val="11"/>
        </w:numPr>
        <w:spacing w:after="0" w:line="240" w:lineRule="auto"/>
        <w:ind w:left="8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Klasyczny, umożliwiający obsługę przy pomocy klawiatury i myszy,</w:t>
      </w:r>
    </w:p>
    <w:p w:rsidR="003C4DEB" w:rsidRDefault="0023291B">
      <w:pPr>
        <w:pStyle w:val="Akapitzlist"/>
        <w:numPr>
          <w:ilvl w:val="0"/>
          <w:numId w:val="6"/>
        </w:numPr>
        <w:spacing w:after="0" w:line="240" w:lineRule="auto"/>
        <w:ind w:left="8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Dotykowy</w:t>
      </w:r>
      <w:r>
        <w:rPr>
          <w:rFonts w:cstheme="minorHAnsi"/>
          <w:sz w:val="20"/>
          <w:szCs w:val="20"/>
        </w:rPr>
        <w:t xml:space="preserve"> umożliwiający sterowanie dotykiem na urządzeniach typu tablet lub monitorach dotykowych,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Interfejsy użytkownika dostępne w wielu językach do wyboru – w tym Polskim i Angielskim,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Zlokalizowane w języku polskim, co najmniej następujące elementy: menu, odtwa</w:t>
      </w:r>
      <w:r>
        <w:rPr>
          <w:rFonts w:cstheme="minorHAnsi"/>
          <w:sz w:val="20"/>
          <w:szCs w:val="20"/>
        </w:rPr>
        <w:t>rzacz multimediów, pomoc, komunikaty systemowe,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Wbudowany system pomocy w języku polskim;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Graficzne środowisko instalacji i konfiguracji dostępne w języku polskim,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Funkcje związane z obsługą komputerów typu tablet, z wbudowanym modułem „uczenia się” pisma </w:t>
      </w:r>
      <w:r>
        <w:rPr>
          <w:rFonts w:cstheme="minorHAnsi"/>
          <w:sz w:val="20"/>
          <w:szCs w:val="20"/>
        </w:rPr>
        <w:t>użytkownika – obsługa języka polskiego.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Funkcjonalność rozpoznawania mowy, pozwalającą na sterowanie komputerem głosowo, wraz z modułem „uczenia się” głosu użytkownika.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Możliwość dokonywania bezpłatnych aktualizacji i poprawek w ramach wersji systemu opera</w:t>
      </w:r>
      <w:r>
        <w:rPr>
          <w:rFonts w:cstheme="minorHAnsi"/>
          <w:sz w:val="20"/>
          <w:szCs w:val="20"/>
        </w:rPr>
        <w:t>cyjnego poprzez Internet, mechanizmem udostępnianym przez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producenta systemu z możliwością wyboru instalowanych poprawek oraz mechanizmem sprawdzającym, które z poprawek są potrzebne,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Możliwość dokonywania aktualizacji i poprawek systemu poprzez mechanizm </w:t>
      </w:r>
      <w:r>
        <w:rPr>
          <w:rFonts w:cstheme="minorHAnsi"/>
          <w:sz w:val="20"/>
          <w:szCs w:val="20"/>
        </w:rPr>
        <w:t>zarządzany przez administratora systemu Zamawiającego,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Dostępność bezpłatnych biuletynów bezpieczeństwa związanych z działaniem systemu operacyjnego,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Wbudowana zapora internetowa (firewall) dla ochrony połączeń internetowych; zintegrowana z systemem konsol</w:t>
      </w:r>
      <w:r>
        <w:rPr>
          <w:rFonts w:cstheme="minorHAnsi"/>
          <w:sz w:val="20"/>
          <w:szCs w:val="20"/>
        </w:rPr>
        <w:t>a do zarządzania ustawieniami zapory i regułami IP v4 i v6;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Wbudowane mechanizmy ochrony antywirusowej i przeciw złośliwemu oprogramowaniu z zapewnionymi bezpłatnymi aktualizacjami,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Wsparcie dla większości powszechnie używanych urządzeń peryferyjnych (druk</w:t>
      </w:r>
      <w:r>
        <w:rPr>
          <w:rFonts w:cstheme="minorHAnsi"/>
          <w:sz w:val="20"/>
          <w:szCs w:val="20"/>
        </w:rPr>
        <w:t>arek, urządzeń sieciowych, standardów USB, Plug&amp;Play, Wi-Fi),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Funkcjonalność automatycznej zmiany domyślnej drukarki w zależności od sieci, do której podłączony jest komputer,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Możliwość zarządzania stacją roboczą poprzez polityki grupowe – przez politykę r</w:t>
      </w:r>
      <w:r>
        <w:rPr>
          <w:rFonts w:cstheme="minorHAnsi"/>
          <w:sz w:val="20"/>
          <w:szCs w:val="20"/>
        </w:rPr>
        <w:t>ozumiemy zestaw reguł definiujących lub ograniczających funkcjonalność systemu lub aplikacji,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Rozbudowane, definiowalne polityki bezpieczeństwa – polityki dla systemu operacyjnego i dla wskazanych aplikacji,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Możliwość zdalnej automatycznej instalacji, konf</w:t>
      </w:r>
      <w:r>
        <w:rPr>
          <w:rFonts w:cstheme="minorHAnsi"/>
          <w:sz w:val="20"/>
          <w:szCs w:val="20"/>
        </w:rPr>
        <w:t>iguracji, administrowania oraz aktualizowania systemu, zgodnie z określonymi uprawnieniami poprzez polityki grupowe,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Zabezpieczony hasłem hierarchiczny dostęp do systemu, konta i profile użytkowników zarządzane zdalnie; praca systemu w trybie ochrony kont </w:t>
      </w:r>
      <w:r>
        <w:rPr>
          <w:rFonts w:cstheme="minorHAnsi"/>
          <w:sz w:val="20"/>
          <w:szCs w:val="20"/>
        </w:rPr>
        <w:t>użytkowników.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Zintegrowany z systemem moduł wyszukiwania informacji (plików różnego typu, tekstów, metadanych) dostępny z kilku poziomów poziom menu, poziom otwartego okna systemu operacyjnego; system wyszukiwania oparty na konfigurowalnym przez użytkownik</w:t>
      </w:r>
      <w:r>
        <w:rPr>
          <w:rFonts w:cstheme="minorHAnsi"/>
          <w:sz w:val="20"/>
          <w:szCs w:val="20"/>
        </w:rPr>
        <w:t>a module indeksacji zasobów lokalnych,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Zintegrowany z systemem operacyjnym moduł synchronizacji komputera z urządzeniami zewnętrznymi.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Obsługastandardu NFC (near field communication),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Możliwość przystosowania stanowiska dla osób niepełnosprawnych (np. </w:t>
      </w:r>
      <w:r>
        <w:rPr>
          <w:rFonts w:cstheme="minorHAnsi"/>
          <w:sz w:val="20"/>
          <w:szCs w:val="20"/>
        </w:rPr>
        <w:t>słabowidzących);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Wsparcie dla IPSEC oparte na politykach – wdrażanie IPSEC oparte na zestawach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reguł definiujących ustawienia zarządzanych w sposób centralny;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Automatyczne występowanie i używanie (wystawianie) certyfikatów PKI X.509;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Mechanizmy logowania </w:t>
      </w:r>
      <w:r>
        <w:rPr>
          <w:rFonts w:cstheme="minorHAnsi"/>
          <w:sz w:val="20"/>
          <w:szCs w:val="20"/>
        </w:rPr>
        <w:t>do domeny w oparciu o:</w:t>
      </w:r>
    </w:p>
    <w:p w:rsidR="003C4DEB" w:rsidRDefault="0023291B">
      <w:pPr>
        <w:pStyle w:val="Akapitzlist"/>
        <w:numPr>
          <w:ilvl w:val="0"/>
          <w:numId w:val="12"/>
        </w:numPr>
        <w:spacing w:after="0" w:line="240" w:lineRule="auto"/>
        <w:ind w:left="8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Login i hasło,</w:t>
      </w:r>
    </w:p>
    <w:p w:rsidR="003C4DEB" w:rsidRDefault="0023291B">
      <w:pPr>
        <w:pStyle w:val="Akapitzlist"/>
        <w:numPr>
          <w:ilvl w:val="0"/>
          <w:numId w:val="7"/>
        </w:numPr>
        <w:spacing w:after="0" w:line="240" w:lineRule="auto"/>
        <w:ind w:left="8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Karty z certyfikatami (smartcard),</w:t>
      </w:r>
    </w:p>
    <w:p w:rsidR="003C4DEB" w:rsidRDefault="0023291B">
      <w:pPr>
        <w:pStyle w:val="Akapitzlist"/>
        <w:numPr>
          <w:ilvl w:val="0"/>
          <w:numId w:val="7"/>
        </w:numPr>
        <w:spacing w:after="0" w:line="240" w:lineRule="auto"/>
        <w:ind w:left="8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Wirtualne karty (logowanie w oparciu o certyfikat chroniony poprzez moduł TPM),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Mechanizmy wieloelementowego uwierzytelniania.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Wsparcie do uwierzytelnienia urządzenia na bazie certyfi</w:t>
      </w:r>
      <w:r>
        <w:rPr>
          <w:rFonts w:cstheme="minorHAnsi"/>
          <w:sz w:val="20"/>
          <w:szCs w:val="20"/>
        </w:rPr>
        <w:t>katu,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Wsparcie wbudowanej zapory ogniowej dla Internet Key Exchange v. 2 (IKEv2) dla warstwy transportowej IPsec,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Wbudowane narzędzia służące do administracji, do wykonywania kopii zapasowych polityk i ich odtwarzania oraz generowania raportów z ustawień p</w:t>
      </w:r>
      <w:r>
        <w:rPr>
          <w:rFonts w:cstheme="minorHAnsi"/>
          <w:sz w:val="20"/>
          <w:szCs w:val="20"/>
        </w:rPr>
        <w:t>olityk;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Wsparcie dla środowisk Java i .NET Framework 4.x – możliwość uruchomienia aplikacji działających we wskazanych środowiskach,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Wsparcie dla JScript i VBScript – możliwość uruchamiania interpretera poleceń,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Zdalna pomoc i współdzielenie aplikacji – mo</w:t>
      </w:r>
      <w:r>
        <w:rPr>
          <w:rFonts w:cstheme="minorHAnsi"/>
          <w:sz w:val="20"/>
          <w:szCs w:val="20"/>
        </w:rPr>
        <w:t>żliwość zdalnego przejęcia sesji zalogowanego użytkownika celem rozwiązania problemu z komputerem,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Rozwiązanie służące do automatycznego zbudowania obrazu systemu wraz z aplikacjami. Obraz systemu służyć ma do automatycznego upowszechnienia systemu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operacy</w:t>
      </w:r>
      <w:r>
        <w:rPr>
          <w:rFonts w:cstheme="minorHAnsi"/>
          <w:sz w:val="20"/>
          <w:szCs w:val="20"/>
        </w:rPr>
        <w:t>jnego inicjowanego i wykonywanego w całości poprzez sieć komputerową,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Rozwiązanie ma umożliwiające wdrożenie nowego obrazu poprzez zdalną instalację,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Transakcyjny system plików pozwalający na stosowanie przydziałów (ang. quota) na dysku dla użytkowników or</w:t>
      </w:r>
      <w:r>
        <w:rPr>
          <w:rFonts w:cstheme="minorHAnsi"/>
          <w:sz w:val="20"/>
          <w:szCs w:val="20"/>
        </w:rPr>
        <w:t>az zapewniający większą niezawodność i pozwalający tworzyć kopie zapasowe,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Zarządzanie kontami użytkowników sieci oraz urządzeniami sieciowymi tj. drukarki, modemy, woluminy dyskowe, usługi katalogowe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Oprogramowanie dla tworzenia kopii zapasowych (Backup);</w:t>
      </w:r>
      <w:r>
        <w:rPr>
          <w:rFonts w:cstheme="minorHAnsi"/>
          <w:sz w:val="20"/>
          <w:szCs w:val="20"/>
        </w:rPr>
        <w:t xml:space="preserve"> automatyczne wykonywanie kopii plików z możliwością automatycznego przywrócenia wersji wcześniejszej,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Możliwość przywracania obrazu plików systemowych do uprzednio zapisanej postaci,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Identyfikacja sieci komputerowych, do których jest podłączony system ope</w:t>
      </w:r>
      <w:r>
        <w:rPr>
          <w:rFonts w:cstheme="minorHAnsi"/>
          <w:sz w:val="20"/>
          <w:szCs w:val="20"/>
        </w:rPr>
        <w:t>racyjny, zapamiętywanie ustawień i przypisywanie do min. 3 kategorii bezpieczeństwa (z predefiniowanymi odpowiednio do kategorii ustawieniami zapory sieciowej, udostępniania plików itp.),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Możliwość blokowania lub dopuszczania dowolnych urządzeń peryferyjny</w:t>
      </w:r>
      <w:r>
        <w:rPr>
          <w:rFonts w:cstheme="minorHAnsi"/>
          <w:sz w:val="20"/>
          <w:szCs w:val="20"/>
        </w:rPr>
        <w:t>ch za pomocą polityk grupowych (np. przy użyciu numerów identyfikacyjnych sprzętu),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Wbudowany mechanizm wirtualizacji typu hypervisor, umożliwiający, zgodnie z uprawnieniami licencyjnymi, uruchomienie do 4 maszyn wirtualnych,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Mechanizm szyfrowania dysków w</w:t>
      </w:r>
      <w:r>
        <w:rPr>
          <w:rFonts w:cstheme="minorHAnsi"/>
          <w:sz w:val="20"/>
          <w:szCs w:val="20"/>
        </w:rPr>
        <w:t>ewnętrznych i zewnętrznych z możliwością szyfrowania ograniczonego do danych użytkownika,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Wbudowane w system narzędzie do szyfrowania partycji systemowych komputera, z możliwością przechowywania certyfikatów w mikrochipie TPM (Trusted Platform Module) w we</w:t>
      </w:r>
      <w:r>
        <w:rPr>
          <w:rFonts w:cstheme="minorHAnsi"/>
          <w:sz w:val="20"/>
          <w:szCs w:val="20"/>
        </w:rPr>
        <w:t>rsji minimum 1.2 lub na kluczach pamięci przenośnej USB.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Wbudowane w system narzędzie do szyfrowania dysków przenośnych, z możliwością centralnego zarządzania poprzez polityki grupowe, pozwalające na wymuszenie szyfrowania dysków przenośnych,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Możliwość two</w:t>
      </w:r>
      <w:r>
        <w:rPr>
          <w:rFonts w:cstheme="minorHAnsi"/>
          <w:sz w:val="20"/>
          <w:szCs w:val="20"/>
        </w:rPr>
        <w:t>rzenia i przechowywania kopii zapasowych kluczy odzyskiwania do szyfrowania partycji w usługach katalogowych.</w:t>
      </w:r>
    </w:p>
    <w:p w:rsidR="003C4DEB" w:rsidRDefault="0023291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Możliwość instalowania dodatkowych języków interfejsu systemu operacyjnego oraz możliwość zmiany języka bez konieczności reinstalacji systemu.</w:t>
      </w:r>
    </w:p>
    <w:p w:rsidR="003C4DEB" w:rsidRDefault="0023291B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Microsoft Office Standard 2019 MOLP EDU - opis równoważności</w:t>
      </w:r>
      <w:r>
        <w:rPr>
          <w:rFonts w:cstheme="minorHAnsi"/>
          <w:sz w:val="20"/>
          <w:szCs w:val="20"/>
        </w:rPr>
        <w:br/>
        <w:t>1) oprogramowanie równoważne musi być kompatybilne i w sposób niezakłócony współdziałać z Microsoft Windows 10, Microsoft Office 2010, Microsoft Office 2013, Microsoft Office 2016, Microsoft Offi</w:t>
      </w:r>
      <w:r>
        <w:rPr>
          <w:rFonts w:cstheme="minorHAnsi"/>
          <w:sz w:val="20"/>
          <w:szCs w:val="20"/>
        </w:rPr>
        <w:t xml:space="preserve">ce 2019, Microsoft Windows Server 2008, Microsoft Windows Server 2012, Microsoft Windows Server 2016), systemem Symfonia (wersja edukacyjna) i sprzętem funkcjonującym u Zamawiającego; </w:t>
      </w:r>
      <w:r>
        <w:rPr>
          <w:rFonts w:cstheme="minorHAnsi"/>
          <w:sz w:val="20"/>
          <w:szCs w:val="20"/>
        </w:rPr>
        <w:br/>
        <w:t>2) oprogramowanie równoważne musi zapewniać co najmniej pełną funkcjona</w:t>
      </w:r>
      <w:r>
        <w:rPr>
          <w:rFonts w:cstheme="minorHAnsi"/>
          <w:sz w:val="20"/>
          <w:szCs w:val="20"/>
        </w:rPr>
        <w:t xml:space="preserve">lność oprogramowania w stosunku, do którego jest wskazane przez Wykonawcę jako równoważne i posiadać co najmniej takie same formaty plików, parametry techniczne i funkcjonalne; </w:t>
      </w:r>
      <w:r>
        <w:rPr>
          <w:rFonts w:cstheme="minorHAnsi"/>
          <w:sz w:val="20"/>
          <w:szCs w:val="20"/>
        </w:rPr>
        <w:br/>
        <w:t>3) warunki licencji oprogramowania równoważnego w każdym aspekcie licencjonowa</w:t>
      </w:r>
      <w:r>
        <w:rPr>
          <w:rFonts w:cstheme="minorHAnsi"/>
          <w:sz w:val="20"/>
          <w:szCs w:val="20"/>
        </w:rPr>
        <w:t xml:space="preserve">nia muszą być nie gorsze niż licencje oprogramowania określonego powyżej. </w:t>
      </w:r>
      <w:r>
        <w:rPr>
          <w:rFonts w:cstheme="minorHAnsi"/>
          <w:sz w:val="20"/>
          <w:szCs w:val="20"/>
        </w:rPr>
        <w:br/>
        <w:t>4) zamawiający nie dopuszcza zaoferowania pakietów biurowych, programów i planów licencyjnych opartych o rozwiązania chmury oraz rozwiązań wymagających stałych opłat w okresie używa</w:t>
      </w:r>
      <w:r>
        <w:rPr>
          <w:rFonts w:cstheme="minorHAnsi"/>
          <w:sz w:val="20"/>
          <w:szCs w:val="20"/>
        </w:rPr>
        <w:t xml:space="preserve">nia zakupionego produktu, </w:t>
      </w:r>
      <w:r>
        <w:rPr>
          <w:rFonts w:cstheme="minorHAnsi"/>
          <w:sz w:val="20"/>
          <w:szCs w:val="20"/>
        </w:rPr>
        <w:br/>
        <w:t>5) wymagane jest zapewnienie możliwości korzystania z wcześniejszych wersji zamawianego oprogramowania oraz możliwości kopiowania na wiele urządzeń przy wykorzystaniu jednego standardowego lub spersonalizowanego obrazu, przy użyc</w:t>
      </w:r>
      <w:r>
        <w:rPr>
          <w:rFonts w:cstheme="minorHAnsi"/>
          <w:sz w:val="20"/>
          <w:szCs w:val="20"/>
        </w:rPr>
        <w:t xml:space="preserve">iu jednego klucza licencyjnego, </w:t>
      </w:r>
      <w:r>
        <w:rPr>
          <w:rFonts w:cstheme="minorHAnsi"/>
          <w:sz w:val="20"/>
          <w:szCs w:val="20"/>
        </w:rPr>
        <w:br/>
        <w:t>6) oprogramowanie musi w pełni współpracować z rozwiązaniem Microsoft Dynamics CRM.</w:t>
      </w:r>
    </w:p>
    <w:p w:rsidR="003C4DEB" w:rsidRDefault="0023291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Wszystkie wymienione parametry, role, funkcje, itp. systemu operacyjnego objęte są dostarczoną licencją (licencjami) i zawarte w dostarczon</w:t>
      </w:r>
      <w:r>
        <w:rPr>
          <w:rFonts w:cstheme="minorHAnsi"/>
          <w:b/>
          <w:bCs/>
          <w:sz w:val="20"/>
          <w:szCs w:val="20"/>
        </w:rPr>
        <w:t>ej wersji oprogramowania (nie wymagają instalacji dodatkowego oprogramowania oraz ponoszenia przez Zamawiającego dodatkowych kosztów).</w:t>
      </w:r>
    </w:p>
    <w:p w:rsidR="003C4DEB" w:rsidRDefault="002329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Obowiązek wykazania równoważności zaoferowanego oprogramowania leży po stronie Wykonawcy. W przypadku zaproponowania prod</w:t>
      </w:r>
      <w:r>
        <w:rPr>
          <w:rFonts w:cstheme="minorHAnsi"/>
          <w:b/>
          <w:bCs/>
          <w:sz w:val="20"/>
          <w:szCs w:val="20"/>
        </w:rPr>
        <w:t>uktu równoważnego, Wykonawca dołączy do oferty stosowne oświadczenie oraz dokumenty potwierdzające równoważność proponowanego systemu operacyjnego.</w:t>
      </w:r>
    </w:p>
    <w:p w:rsidR="003C4DEB" w:rsidRDefault="0023291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 przypadku zaoferowania oprogramowania równoważnego Wykonawca zapewni szkolenie z obsługi zaoferowanego opr</w:t>
      </w:r>
      <w:r>
        <w:rPr>
          <w:rFonts w:cstheme="minorHAnsi"/>
          <w:b/>
          <w:bCs/>
          <w:sz w:val="20"/>
          <w:szCs w:val="20"/>
        </w:rPr>
        <w:t>ogramowania, które umożliwi zapoznanie z zasadami działania oprogramowania oraz zdobycie wiedzy i umiejętności potrzebnych do biegłej obsługi i administrowania systemem operacyjnym na poziomie zaawansowanym.</w:t>
      </w:r>
    </w:p>
    <w:p w:rsidR="003C4DEB" w:rsidRDefault="002329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Szkolenie musi być realizowane przez autoryzowan</w:t>
      </w:r>
      <w:r>
        <w:rPr>
          <w:rFonts w:cstheme="minorHAnsi"/>
          <w:b/>
          <w:bCs/>
          <w:sz w:val="20"/>
          <w:szCs w:val="20"/>
        </w:rPr>
        <w:t>ego partnera producenta oprogramowania.</w:t>
      </w:r>
    </w:p>
    <w:p w:rsidR="003C4DEB" w:rsidRDefault="003C4DEB">
      <w:pPr>
        <w:spacing w:after="0" w:line="240" w:lineRule="auto"/>
        <w:ind w:right="-145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3C4DEB" w:rsidRDefault="0023291B">
      <w:pPr>
        <w:spacing w:after="0" w:line="240" w:lineRule="auto"/>
        <w:ind w:right="-14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UWAGA:</w:t>
      </w:r>
    </w:p>
    <w:p w:rsidR="003C4DEB" w:rsidRDefault="0023291B">
      <w:pPr>
        <w:spacing w:after="0" w:line="240" w:lineRule="auto"/>
        <w:ind w:right="-14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W przypadku braku nazwy producenta lub typu, produktu, modelu lub innych danych zawartych w Załączniku nr 3 do SWZ umożliwiających identyfikację oferowanego sprzętu oraz braku powyższych danych w innych załączonych do oferty dokumentach, oferta Wykonawcy n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ie będzie podlegała uzupełnieniu i zostanie odrzucona na podstawie art. </w:t>
      </w:r>
      <w:r>
        <w:rPr>
          <w:rFonts w:cstheme="minorHAnsi"/>
          <w:b/>
          <w:color w:val="000000"/>
          <w:sz w:val="20"/>
          <w:szCs w:val="20"/>
        </w:rPr>
        <w:t xml:space="preserve">226 ust. 1 pkt 5) 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ustawy Pzp tj. </w:t>
      </w:r>
      <w:r>
        <w:rPr>
          <w:rFonts w:cstheme="minorHAnsi"/>
          <w:b/>
          <w:color w:val="000000"/>
          <w:sz w:val="20"/>
          <w:szCs w:val="20"/>
        </w:rPr>
        <w:t>) ustawy Pzp, jako, że jej treść nie będzie odpowiadać treści SWZ.</w:t>
      </w:r>
    </w:p>
    <w:p w:rsidR="003C4DEB" w:rsidRDefault="003C4DEB">
      <w:pPr>
        <w:spacing w:after="0" w:line="240" w:lineRule="auto"/>
        <w:ind w:right="-145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3C4DEB" w:rsidRDefault="003C4DEB">
      <w:pPr>
        <w:spacing w:after="0" w:line="240" w:lineRule="auto"/>
        <w:ind w:right="-145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3C4DEB" w:rsidRDefault="0023291B">
      <w:pPr>
        <w:spacing w:after="0" w:line="240" w:lineRule="auto"/>
        <w:ind w:right="-145"/>
        <w:jc w:val="both"/>
        <w:rPr>
          <w:rFonts w:cstheme="minorHAnsi"/>
          <w:i/>
          <w:iCs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lastRenderedPageBreak/>
        <w:t>…………………………….., dnia ……….. 2021 roku</w:t>
      </w:r>
    </w:p>
    <w:sectPr w:rsidR="003C4DEB" w:rsidSect="003C4DEB">
      <w:headerReference w:type="default" r:id="rId12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1B" w:rsidRDefault="0023291B" w:rsidP="003C4DEB">
      <w:pPr>
        <w:spacing w:after="0" w:line="240" w:lineRule="auto"/>
      </w:pPr>
      <w:r>
        <w:separator/>
      </w:r>
    </w:p>
  </w:endnote>
  <w:endnote w:type="continuationSeparator" w:id="1">
    <w:p w:rsidR="0023291B" w:rsidRDefault="0023291B" w:rsidP="003C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1B" w:rsidRDefault="0023291B" w:rsidP="003C4DEB">
      <w:pPr>
        <w:spacing w:after="0" w:line="240" w:lineRule="auto"/>
      </w:pPr>
      <w:r>
        <w:separator/>
      </w:r>
    </w:p>
  </w:footnote>
  <w:footnote w:type="continuationSeparator" w:id="1">
    <w:p w:rsidR="0023291B" w:rsidRDefault="0023291B" w:rsidP="003C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EB" w:rsidRDefault="0023291B">
    <w:pPr>
      <w:spacing w:after="156"/>
      <w:ind w:left="144"/>
    </w:pPr>
    <w:r>
      <w:t>Znak sprawy</w:t>
    </w:r>
    <w:bookmarkStart w:id="2" w:name="_Hlk58317285"/>
    <w:r>
      <w:t>IN.271.32.202</w:t>
    </w:r>
    <w:bookmarkEnd w:id="2"/>
    <w:r>
      <w:t>1</w:t>
    </w:r>
  </w:p>
  <w:p w:rsidR="003C4DEB" w:rsidRDefault="0023291B">
    <w:pPr>
      <w:spacing w:after="0"/>
      <w:ind w:left="144"/>
    </w:pPr>
    <w:bookmarkStart w:id="3" w:name="_Hlk58318774"/>
    <w:bookmarkStart w:id="4" w:name="_Hlk58318775"/>
    <w:r>
      <w:rPr>
        <w:noProof/>
        <w:lang w:eastAsia="pl-PL"/>
      </w:rPr>
      <w:drawing>
        <wp:inline distT="0" distB="0" distL="0" distR="0">
          <wp:extent cx="8909685" cy="658495"/>
          <wp:effectExtent l="0" t="0" r="0" b="0"/>
          <wp:docPr id="1" name="Obraz 50" descr="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0" descr="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09685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</w:p>
  <w:p w:rsidR="003C4DEB" w:rsidRDefault="0023291B">
    <w:pPr>
      <w:pStyle w:val="Akapitzlist"/>
      <w:tabs>
        <w:tab w:val="left" w:pos="7599"/>
        <w:tab w:val="right" w:pos="14004"/>
      </w:tabs>
      <w:spacing w:after="0"/>
      <w:ind w:left="0"/>
    </w:pPr>
    <w:r>
      <w:rPr>
        <w:rFonts w:eastAsia="Calibri"/>
        <w:b/>
        <w:szCs w:val="24"/>
      </w:rPr>
      <w:tab/>
    </w:r>
    <w:r>
      <w:rPr>
        <w:rFonts w:eastAsia="Calibri"/>
        <w:b/>
        <w:szCs w:val="24"/>
      </w:rPr>
      <w:tab/>
      <w:t>Załącznik nr 3 do SWZ</w:t>
    </w:r>
  </w:p>
  <w:p w:rsidR="003C4DEB" w:rsidRDefault="0023291B">
    <w:pPr>
      <w:pStyle w:val="Header"/>
      <w:tabs>
        <w:tab w:val="clear" w:pos="4536"/>
        <w:tab w:val="clear" w:pos="9072"/>
        <w:tab w:val="left" w:pos="1274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53C"/>
    <w:multiLevelType w:val="multilevel"/>
    <w:tmpl w:val="350EEA2A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3E6F34"/>
    <w:multiLevelType w:val="multilevel"/>
    <w:tmpl w:val="F6C8DBB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02719"/>
    <w:multiLevelType w:val="multilevel"/>
    <w:tmpl w:val="48F6898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8A4CED"/>
    <w:multiLevelType w:val="multilevel"/>
    <w:tmpl w:val="DCC4DC2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1130F5"/>
    <w:multiLevelType w:val="multilevel"/>
    <w:tmpl w:val="C33ECCE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>
    <w:nsid w:val="1E834FF0"/>
    <w:multiLevelType w:val="multilevel"/>
    <w:tmpl w:val="05560D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F233482"/>
    <w:multiLevelType w:val="multilevel"/>
    <w:tmpl w:val="49E690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2F3E2B"/>
    <w:multiLevelType w:val="multilevel"/>
    <w:tmpl w:val="599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FAF1065"/>
    <w:multiLevelType w:val="multilevel"/>
    <w:tmpl w:val="46EE822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1097271"/>
    <w:multiLevelType w:val="multilevel"/>
    <w:tmpl w:val="5816AD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A7F5CE3"/>
    <w:multiLevelType w:val="multilevel"/>
    <w:tmpl w:val="96ACF3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EBC42C8"/>
    <w:multiLevelType w:val="multilevel"/>
    <w:tmpl w:val="87203AE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F542000"/>
    <w:multiLevelType w:val="multilevel"/>
    <w:tmpl w:val="BC2A41D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18B314A"/>
    <w:multiLevelType w:val="multilevel"/>
    <w:tmpl w:val="4A98058E"/>
    <w:lvl w:ilvl="0">
      <w:start w:val="7"/>
      <w:numFmt w:val="bullet"/>
      <w:lvlText w:val="•"/>
      <w:lvlJc w:val="left"/>
      <w:pPr>
        <w:tabs>
          <w:tab w:val="num" w:pos="0"/>
        </w:tabs>
        <w:ind w:left="705" w:hanging="5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14">
    <w:nsid w:val="75687739"/>
    <w:multiLevelType w:val="multilevel"/>
    <w:tmpl w:val="224E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E9E3CCA"/>
    <w:multiLevelType w:val="multilevel"/>
    <w:tmpl w:val="9280C1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DEB"/>
    <w:rsid w:val="0023291B"/>
    <w:rsid w:val="003C4DEB"/>
    <w:rsid w:val="0069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2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"/>
    <w:qFormat/>
    <w:rsid w:val="004A3A3F"/>
    <w:pPr>
      <w:suppressAutoHyphens w:val="0"/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ing5">
    <w:name w:val="Heading 5"/>
    <w:basedOn w:val="Normalny"/>
    <w:next w:val="Normalny"/>
    <w:link w:val="Nagwek5Znak"/>
    <w:uiPriority w:val="9"/>
    <w:semiHidden/>
    <w:unhideWhenUsed/>
    <w:qFormat/>
    <w:rsid w:val="008F73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zeinternetowe">
    <w:name w:val="Łącze internetowe"/>
    <w:uiPriority w:val="99"/>
    <w:unhideWhenUsed/>
    <w:qFormat/>
    <w:rsid w:val="0092202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220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202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31FE"/>
  </w:style>
  <w:style w:type="character" w:customStyle="1" w:styleId="StopkaZnak">
    <w:name w:val="Stopka Znak"/>
    <w:basedOn w:val="Domylnaczcionkaakapitu"/>
    <w:link w:val="Footer"/>
    <w:uiPriority w:val="99"/>
    <w:qFormat/>
    <w:rsid w:val="002A31F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5688"/>
    <w:rPr>
      <w:sz w:val="16"/>
      <w:szCs w:val="16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4A3A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A3A3F"/>
    <w:rPr>
      <w:b/>
      <w:bCs/>
    </w:rPr>
  </w:style>
  <w:style w:type="character" w:customStyle="1" w:styleId="Znakiwypunktowania">
    <w:name w:val="Znaki wypunktowania"/>
    <w:qFormat/>
    <w:rsid w:val="009C7BC1"/>
    <w:rPr>
      <w:rFonts w:ascii="OpenSymbol" w:eastAsia="OpenSymbol" w:hAnsi="OpenSymbol" w:cs="OpenSymbol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8F730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dwiedzoneczeinternetowe">
    <w:name w:val="Odwiedzone łącze internetowe"/>
    <w:rsid w:val="003C4DEB"/>
    <w:rPr>
      <w:color w:val="800000"/>
      <w:u w:val="single"/>
    </w:rPr>
  </w:style>
  <w:style w:type="character" w:customStyle="1" w:styleId="Znakinumeracji">
    <w:name w:val="Znaki numeracji"/>
    <w:qFormat/>
    <w:rsid w:val="003C4DEB"/>
  </w:style>
  <w:style w:type="paragraph" w:styleId="Nagwek">
    <w:name w:val="header"/>
    <w:basedOn w:val="Normalny"/>
    <w:next w:val="Tekstpodstawowy"/>
    <w:link w:val="NagwekZnak"/>
    <w:qFormat/>
    <w:rsid w:val="003C4D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C7BC1"/>
    <w:pPr>
      <w:spacing w:after="140" w:line="276" w:lineRule="auto"/>
    </w:pPr>
  </w:style>
  <w:style w:type="paragraph" w:styleId="Lista">
    <w:name w:val="List"/>
    <w:basedOn w:val="Tekstpodstawowy"/>
    <w:rsid w:val="009C7BC1"/>
    <w:rPr>
      <w:rFonts w:cs="Lucida Sans"/>
    </w:rPr>
  </w:style>
  <w:style w:type="paragraph" w:customStyle="1" w:styleId="Caption">
    <w:name w:val="Caption"/>
    <w:basedOn w:val="Normalny"/>
    <w:qFormat/>
    <w:rsid w:val="003C4D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7BC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C7BC1"/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9C7B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92202F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9220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20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Normalny"/>
    <w:link w:val="Stopka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4A3A3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3C4DEB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3C4DE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pubenchmark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3E34-F78D-493D-9256-CBC9FBF3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2781</Words>
  <Characters>16687</Characters>
  <Application>Microsoft Office Word</Application>
  <DocSecurity>0</DocSecurity>
  <Lines>139</Lines>
  <Paragraphs>38</Paragraphs>
  <ScaleCrop>false</ScaleCrop>
  <Company>Hewlett-Packard Company</Company>
  <LinksUpToDate>false</LinksUpToDate>
  <CharactersWithSpaces>19430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Dolata</dc:creator>
  <dc:description/>
  <cp:lastModifiedBy>Przemek</cp:lastModifiedBy>
  <cp:revision>5</cp:revision>
  <cp:lastPrinted>2021-04-26T09:15:00Z</cp:lastPrinted>
  <dcterms:created xsi:type="dcterms:W3CDTF">2021-11-10T07:42:00Z</dcterms:created>
  <dcterms:modified xsi:type="dcterms:W3CDTF">2021-11-10T21:05:00Z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