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dostaw</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13</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b/>
          <w:bCs/>
          <w:iCs/>
          <w:spacing w:val="4"/>
        </w:rPr>
      </w:pPr>
      <w:r>
        <w:rPr>
          <w:rFonts w:ascii="Trebuchet MS" w:hAnsi="Trebuchet MS"/>
          <w:b/>
          <w:bCs/>
          <w:iCs/>
          <w:spacing w:val="4"/>
        </w:rPr>
        <w:t>„</w:t>
      </w:r>
      <w:bookmarkStart w:id="1" w:name="_Hlk84321004"/>
      <w:r>
        <w:rPr>
          <w:rFonts w:hint="default" w:ascii="Trebuchet MS" w:hAnsi="Trebuchet MS"/>
          <w:b/>
          <w:bCs/>
          <w:iCs/>
          <w:spacing w:val="4"/>
          <w:lang w:val="pl-PL"/>
        </w:rPr>
        <w:t>Dostawa 9-osobowego samochodu przystosowanego do przewozu osób</w:t>
      </w:r>
      <w:r>
        <w:rPr>
          <w:rFonts w:ascii="Trebuchet MS" w:hAnsi="Trebuchet MS"/>
          <w:b/>
          <w:bCs/>
          <w:iCs/>
          <w:spacing w:val="4"/>
        </w:rPr>
        <w:t>”</w:t>
      </w:r>
      <w:bookmarkEnd w:id="1"/>
    </w:p>
    <w:p>
      <w:pPr>
        <w:tabs>
          <w:tab w:val="left" w:pos="5420"/>
        </w:tabs>
        <w:spacing w:line="360" w:lineRule="auto"/>
        <w:ind w:right="28"/>
        <w:jc w:val="center"/>
        <w:rPr>
          <w:rFonts w:ascii="Trebuchet MS" w:hAnsi="Trebuchet MS"/>
          <w:b/>
          <w:bCs/>
          <w:iCs/>
          <w:spacing w:val="4"/>
        </w:rPr>
      </w:pP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81"/>
        <w:gridCol w:w="65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81"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1"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hint="default" w:ascii="Trebuchet MS" w:hAnsi="Trebuchet MS" w:cs="Arial"/>
                <w:lang w:val="pl-PL"/>
              </w:rPr>
              <w:t>3</w:t>
            </w:r>
            <w:r>
              <w:rPr>
                <w:rFonts w:ascii="Trebuchet MS" w:hAnsi="Trebuchet MS" w:cs="Arial"/>
              </w:rPr>
              <w:t>.</w:t>
            </w:r>
          </w:p>
        </w:tc>
        <w:tc>
          <w:tcPr>
            <w:tcW w:w="2181" w:type="dxa"/>
            <w:tcBorders>
              <w:top w:val="single" w:color="auto" w:sz="4" w:space="0"/>
            </w:tcBorders>
          </w:tcPr>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3</w:t>
            </w:r>
          </w:p>
        </w:tc>
        <w:tc>
          <w:tcPr>
            <w:tcW w:w="6595" w:type="dxa"/>
            <w:tcBorders>
              <w:top w:val="single" w:color="auto" w:sz="4" w:space="0"/>
            </w:tcBorders>
          </w:tcPr>
          <w:p>
            <w:pPr>
              <w:ind w:right="28"/>
              <w:jc w:val="both"/>
              <w:rPr>
                <w:rFonts w:ascii="Trebuchet MS" w:hAnsi="Trebuchet MS" w:cs="Arial"/>
              </w:rPr>
            </w:pPr>
            <w:r>
              <w:rPr>
                <w:rFonts w:hint="default" w:ascii="Trebuchet MS" w:hAnsi="Trebuchet MS" w:cs="Arial"/>
                <w:lang w:val="pl-PL"/>
              </w:rPr>
              <w:t>Szczegółowy o</w:t>
            </w:r>
            <w:r>
              <w:rPr>
                <w:rFonts w:ascii="Trebuchet MS" w:hAnsi="Trebuchet MS" w:cs="Arial"/>
              </w:rPr>
              <w:t>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hint="default" w:ascii="Trebuchet MS" w:hAnsi="Trebuchet MS" w:cs="Arial"/>
                <w:lang w:val="pl-PL"/>
              </w:rPr>
              <w:t>4</w:t>
            </w:r>
            <w:r>
              <w:rPr>
                <w:rFonts w:ascii="Trebuchet MS" w:hAnsi="Trebuchet MS" w:cs="Arial"/>
              </w:rPr>
              <w:t>.</w:t>
            </w:r>
          </w:p>
        </w:tc>
        <w:tc>
          <w:tcPr>
            <w:tcW w:w="2181" w:type="dxa"/>
          </w:tcPr>
          <w:p>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4</w:t>
            </w:r>
          </w:p>
        </w:tc>
        <w:tc>
          <w:tcPr>
            <w:tcW w:w="659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highlight w:val="none"/>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23</w:t>
      </w:r>
      <w:r>
        <w:rPr>
          <w:rFonts w:ascii="Trebuchet MS" w:hAnsi="Trebuchet MS" w:cs="Arial"/>
          <w:highlight w:val="none"/>
        </w:rPr>
        <w:t>.0</w:t>
      </w:r>
      <w:r>
        <w:rPr>
          <w:rFonts w:hint="default" w:ascii="Trebuchet MS" w:hAnsi="Trebuchet MS" w:cs="Arial"/>
          <w:highlight w:val="none"/>
          <w:lang w:val="pl-PL"/>
        </w:rPr>
        <w:t>4</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hint="default" w:ascii="Trebuchet MS" w:hAnsi="Trebuchet MS" w:cs="Arial"/>
          <w:lang w:val="pl-PL"/>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hint="default" w:ascii="Trebuchet MS" w:hAnsi="Trebuchet MS" w:cs="Trebuchet MS"/>
          <w:sz w:val="20"/>
          <w:szCs w:val="20"/>
        </w:rPr>
      </w:pPr>
      <w:r>
        <w:rPr>
          <w:rFonts w:ascii="Trebuchet MS" w:hAnsi="Trebuchet MS" w:cs="Arial"/>
        </w:rPr>
        <w:t xml:space="preserve">strona internetowa prowadzonego postępowania oraz na której będą zamieszczane zmiany i wyjaśnienia treści SWZ oraz inne dokumenty zamówienia </w:t>
      </w:r>
      <w:r>
        <w:rPr>
          <w:rFonts w:hint="default" w:ascii="Trebuchet MS" w:hAnsi="Trebuchet MS" w:cs="Trebuchet MS"/>
          <w:sz w:val="20"/>
          <w:szCs w:val="20"/>
        </w:rPr>
        <w:t>bezpośrednio związane z postępowaniem</w:t>
      </w:r>
      <w:r>
        <w:rPr>
          <w:rFonts w:hint="default" w:ascii="Trebuchet MS" w:hAnsi="Trebuchet MS" w:cs="Trebuchet MS"/>
          <w:b/>
          <w:bCs/>
          <w:sz w:val="20"/>
          <w:szCs w:val="20"/>
        </w:rPr>
        <w:t xml:space="preserve"> (bezpośredni link do postępowania): </w:t>
      </w:r>
    </w:p>
    <w:p>
      <w:pPr>
        <w:spacing w:line="288" w:lineRule="auto"/>
        <w:ind w:left="1415" w:right="28" w:firstLine="708"/>
        <w:jc w:val="both"/>
        <w:rPr>
          <w:rStyle w:val="30"/>
        </w:rPr>
      </w:pPr>
      <w:bookmarkStart w:id="2" w:name="_Hlk96506833"/>
      <w:bookmarkStart w:id="3"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"https://platformazakupowa.pl/transakcja/918833"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https://platformazakupowa.pl/transakcja/918833 </w:t>
      </w:r>
      <w:r>
        <w:rPr>
          <w:rFonts w:hint="default" w:ascii="Trebuchet MS" w:hAnsi="Trebuchet MS" w:eastAsia="SimSun" w:cs="Trebuchet MS"/>
          <w:sz w:val="20"/>
          <w:szCs w:val="20"/>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pPr>
        <w:spacing w:line="276" w:lineRule="auto"/>
        <w:ind w:left="0" w:leftChars="0" w:firstLine="0" w:firstLineChars="0"/>
        <w:jc w:val="both"/>
        <w:rPr>
          <w:rFonts w:hint="default" w:ascii="Trebuchet MS" w:hAnsi="Trebuchet MS"/>
          <w:highlight w:val="none"/>
        </w:rPr>
      </w:pPr>
      <w:r>
        <w:rPr>
          <w:rFonts w:hint="default" w:ascii="Trebuchet MS" w:hAnsi="Trebuchet MS"/>
          <w:highlight w:val="none"/>
        </w:rPr>
        <w:t>„</w:t>
      </w:r>
      <w:r>
        <w:rPr>
          <w:rFonts w:hint="default" w:ascii="Trebuchet MS" w:hAnsi="Trebuchet MS"/>
          <w:b/>
          <w:bCs/>
          <w:i/>
          <w:iCs/>
          <w:highlight w:val="none"/>
        </w:rPr>
        <w:t>Dostawa 9-osobowego samochodu przystosowanego do przewozu osób</w:t>
      </w:r>
      <w:r>
        <w:rPr>
          <w:rFonts w:hint="default" w:ascii="Trebuchet MS" w:hAnsi="Trebuchet MS"/>
          <w:highlight w:val="none"/>
        </w:rPr>
        <w:t>”</w:t>
      </w:r>
    </w:p>
    <w:p>
      <w:pPr>
        <w:spacing w:line="276" w:lineRule="auto"/>
        <w:jc w:val="both"/>
        <w:rPr>
          <w:rFonts w:hint="default" w:ascii="Trebuchet MS" w:hAnsi="Trebuchet MS"/>
        </w:rPr>
      </w:pPr>
    </w:p>
    <w:p>
      <w:pPr>
        <w:spacing w:line="276" w:lineRule="auto"/>
        <w:jc w:val="both"/>
        <w:rPr>
          <w:rFonts w:hint="default" w:ascii="Trebuchet MS" w:hAnsi="Trebuchet MS"/>
          <w:b w:val="0"/>
          <w:bCs w:val="0"/>
          <w:highlight w:val="none"/>
          <w:lang w:val="pl-PL"/>
        </w:rPr>
      </w:pPr>
      <w:r>
        <w:rPr>
          <w:rFonts w:hint="default" w:ascii="Trebuchet MS" w:hAnsi="Trebuchet MS"/>
          <w:highlight w:val="none"/>
        </w:rPr>
        <w:t>Przedmiot</w:t>
      </w:r>
      <w:r>
        <w:rPr>
          <w:rFonts w:hint="default" w:ascii="Trebuchet MS" w:hAnsi="Trebuchet MS"/>
          <w:highlight w:val="none"/>
          <w:lang w:val="pl-PL"/>
        </w:rPr>
        <w:t>em zamówienia je</w:t>
      </w:r>
      <w:r>
        <w:rPr>
          <w:rFonts w:hint="default" w:ascii="Trebuchet MS" w:hAnsi="Trebuchet MS"/>
          <w:b w:val="0"/>
          <w:bCs w:val="0"/>
          <w:highlight w:val="none"/>
          <w:lang w:val="pl-PL"/>
        </w:rPr>
        <w:t xml:space="preserve">st </w:t>
      </w:r>
      <w:r>
        <w:rPr>
          <w:rFonts w:hint="default" w:ascii="Trebuchet MS" w:hAnsi="Trebuchet MS"/>
          <w:b w:val="0"/>
          <w:bCs w:val="0"/>
          <w:iCs/>
          <w:spacing w:val="4"/>
          <w:lang w:val="pl-PL"/>
        </w:rPr>
        <w:t>dostawa 9-osobowego samochodu przystosowanego do przewozu osób.</w:t>
      </w:r>
    </w:p>
    <w:p>
      <w:pPr>
        <w:tabs>
          <w:tab w:val="left" w:pos="567"/>
        </w:tabs>
        <w:spacing w:line="276" w:lineRule="auto"/>
        <w:jc w:val="both"/>
        <w:rPr>
          <w:rFonts w:hint="default" w:ascii="Trebuchet MS" w:hAnsi="Trebuchet MS"/>
        </w:rPr>
      </w:pPr>
      <w:r>
        <w:rPr>
          <w:rFonts w:hint="default" w:ascii="Trebuchet MS" w:hAnsi="Trebuchet MS"/>
        </w:rPr>
        <w:t xml:space="preserve">Szczegółowy opis przedmiotu zamówienia </w:t>
      </w:r>
      <w:r>
        <w:rPr>
          <w:rFonts w:hint="default" w:ascii="Trebuchet MS" w:hAnsi="Trebuchet MS"/>
          <w:lang w:val="pl-PL"/>
        </w:rPr>
        <w:t>zwiera</w:t>
      </w:r>
      <w:r>
        <w:rPr>
          <w:rFonts w:hint="default" w:ascii="Trebuchet MS" w:hAnsi="Trebuchet MS"/>
        </w:rPr>
        <w:t xml:space="preserve"> załącznik nr </w:t>
      </w:r>
      <w:r>
        <w:rPr>
          <w:rFonts w:hint="default" w:ascii="Trebuchet MS" w:hAnsi="Trebuchet MS"/>
          <w:lang w:val="pl-PL"/>
        </w:rPr>
        <w:t>3</w:t>
      </w:r>
      <w:r>
        <w:rPr>
          <w:rFonts w:hint="default" w:ascii="Trebuchet MS" w:hAnsi="Trebuchet MS"/>
        </w:rPr>
        <w:t xml:space="preserve"> do SWZ.</w:t>
      </w:r>
    </w:p>
    <w:p>
      <w:pPr>
        <w:tabs>
          <w:tab w:val="left" w:pos="567"/>
        </w:tabs>
        <w:spacing w:line="276" w:lineRule="auto"/>
        <w:jc w:val="both"/>
        <w:rPr>
          <w:rFonts w:hint="default" w:ascii="Trebuchet MS" w:hAnsi="Trebuchet MS"/>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spacing w:after="0" w:line="240" w:lineRule="auto"/>
        <w:rPr>
          <w:rFonts w:hint="default" w:ascii="Trebuchet MS" w:hAnsi="Trebuchet MS" w:eastAsia="Times New Roman" w:cs="Trebuchet MS"/>
          <w:b/>
          <w:bCs/>
          <w:color w:val="000000"/>
          <w:sz w:val="20"/>
          <w:szCs w:val="20"/>
          <w:lang w:eastAsia="pl-PL"/>
        </w:rPr>
      </w:pPr>
    </w:p>
    <w:p>
      <w:pPr>
        <w:tabs>
          <w:tab w:val="left" w:pos="567"/>
        </w:tabs>
        <w:spacing w:line="276" w:lineRule="auto"/>
        <w:jc w:val="both"/>
        <w:rPr>
          <w:rFonts w:hint="default" w:ascii="Trebuchet MS" w:hAnsi="Trebuchet MS"/>
          <w:lang w:val="pl-PL"/>
        </w:rPr>
      </w:pPr>
      <w:r>
        <w:rPr>
          <w:rFonts w:hint="default" w:ascii="Trebuchet MS" w:hAnsi="Trebuchet MS"/>
        </w:rPr>
        <w:t>-</w:t>
      </w:r>
      <w:r>
        <w:rPr>
          <w:rFonts w:hint="default" w:ascii="Trebuchet MS" w:hAnsi="Trebuchet MS"/>
          <w:lang w:val="pl-PL"/>
        </w:rPr>
        <w:t xml:space="preserve"> 34110000</w:t>
      </w:r>
      <w:r>
        <w:rPr>
          <w:rFonts w:hint="default" w:ascii="Trebuchet MS" w:hAnsi="Trebuchet MS"/>
        </w:rPr>
        <w:t>-</w:t>
      </w:r>
      <w:r>
        <w:rPr>
          <w:rFonts w:hint="default" w:ascii="Trebuchet MS" w:hAnsi="Trebuchet MS"/>
          <w:lang w:val="pl-PL"/>
        </w:rPr>
        <w:t xml:space="preserve">1 </w:t>
      </w:r>
      <w:r>
        <w:rPr>
          <w:rFonts w:hint="default" w:ascii="Trebuchet MS" w:hAnsi="Trebuchet MS"/>
        </w:rPr>
        <w:t xml:space="preserve"> </w:t>
      </w:r>
      <w:r>
        <w:rPr>
          <w:rFonts w:hint="default" w:ascii="Trebuchet MS" w:hAnsi="Trebuchet MS"/>
          <w:lang w:val="pl-PL"/>
        </w:rPr>
        <w:t xml:space="preserve">- </w:t>
      </w:r>
      <w:r>
        <w:rPr>
          <w:rFonts w:hint="default" w:ascii="Trebuchet MS" w:hAnsi="Trebuchet MS"/>
        </w:rPr>
        <w:t>Samochody osobowe</w:t>
      </w:r>
      <w:r>
        <w:rPr>
          <w:rFonts w:hint="default" w:ascii="Trebuchet MS" w:hAnsi="Trebuchet MS"/>
          <w:lang w:val="pl-PL"/>
        </w:rPr>
        <w:t>.</w:t>
      </w:r>
    </w:p>
    <w:p>
      <w:pPr>
        <w:rPr>
          <w:rFonts w:hint="default" w:ascii="Times New Roman" w:hAnsi="Times New Roman" w:cs="Times New Roman"/>
          <w:sz w:val="24"/>
          <w:szCs w:val="24"/>
          <w:lang w:val="pl-PL"/>
        </w:rPr>
      </w:pPr>
    </w:p>
    <w:p>
      <w:pPr>
        <w:tabs>
          <w:tab w:val="left" w:pos="567"/>
        </w:tabs>
        <w:spacing w:line="360" w:lineRule="auto"/>
        <w:jc w:val="both"/>
        <w:rPr>
          <w:rFonts w:hint="default" w:ascii="Trebuchet MS" w:hAnsi="Trebuchet MS"/>
          <w:lang w:val="pl-PL"/>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pStyle w:val="18"/>
        <w:spacing w:after="0" w:line="288" w:lineRule="auto"/>
        <w:ind w:left="426"/>
        <w:jc w:val="both"/>
        <w:rPr>
          <w:rFonts w:ascii="Trebuchet MS" w:hAnsi="Trebuchet MS" w:cs="Arial"/>
          <w:highlight w:val="none"/>
        </w:rPr>
      </w:pPr>
      <w:r>
        <w:rPr>
          <w:rFonts w:ascii="Trebuchet MS" w:hAnsi="Trebuchet MS" w:cs="Arial"/>
          <w:highlight w:val="none"/>
        </w:rPr>
        <w:t xml:space="preserve">Zamawiający nie wymaga złożenia przedmiotowych środków dowodowych w przedmiotowym postępowaniu. </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bookmarkStart w:id="8" w:name="_GoBack"/>
      <w:bookmarkEnd w:id="8"/>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360" w:lineRule="auto"/>
        <w:ind w:left="426" w:right="28" w:hanging="426"/>
        <w:jc w:val="both"/>
        <w:rPr>
          <w:rFonts w:ascii="Trebuchet MS" w:hAnsi="Trebuchet MS" w:cs="Arial"/>
          <w:sz w:val="20"/>
          <w:szCs w:val="20"/>
        </w:rPr>
      </w:pPr>
      <w:r>
        <w:rPr>
          <w:rFonts w:ascii="Trebuchet MS" w:hAnsi="Trebuchet MS" w:cs="Arial"/>
          <w:sz w:val="20"/>
          <w:szCs w:val="20"/>
        </w:rPr>
        <w:t>Powody niedokonania podziału zamówienia na części:</w:t>
      </w:r>
    </w:p>
    <w:p>
      <w:pPr>
        <w:pStyle w:val="39"/>
        <w:spacing w:line="360" w:lineRule="auto"/>
        <w:ind w:left="426" w:right="28"/>
        <w:jc w:val="both"/>
        <w:rPr>
          <w:rFonts w:ascii="Trebuchet MS" w:hAnsi="Trebuchet MS" w:cs="Arial"/>
          <w:sz w:val="20"/>
          <w:szCs w:val="20"/>
        </w:rPr>
      </w:pPr>
    </w:p>
    <w:p>
      <w:pPr>
        <w:pStyle w:val="15"/>
        <w:spacing w:line="276" w:lineRule="auto"/>
        <w:ind w:left="426"/>
        <w:jc w:val="both"/>
        <w:rPr>
          <w:rFonts w:hint="default" w:ascii="Trebuchet MS" w:hAnsi="Trebuchet MS"/>
          <w:sz w:val="20"/>
          <w:szCs w:val="20"/>
          <w:lang w:eastAsia="zh-CN"/>
        </w:rPr>
      </w:pPr>
      <w:r>
        <w:rPr>
          <w:rFonts w:hint="default" w:ascii="Trebuchet MS" w:hAnsi="Trebuchet MS"/>
          <w:sz w:val="20"/>
          <w:szCs w:val="20"/>
          <w:lang w:eastAsia="zh-CN"/>
        </w:rPr>
        <w:t>Przedmiot zamówienia jest jednolity i charakteryzuje się świadczeniem dostawy kompleksowej. Wielkość świadczonych dostaw pozwala założyć, że jeden podmiot będzie z powodzeniem mógł je wykonywać. Stąd podział zamówienia jest niecelowy i nie doprowadziłby do powstania oszczędności.</w:t>
      </w:r>
    </w:p>
    <w:p>
      <w:pPr>
        <w:pStyle w:val="15"/>
        <w:spacing w:line="276" w:lineRule="auto"/>
        <w:ind w:left="426"/>
        <w:jc w:val="both"/>
        <w:rPr>
          <w:rFonts w:hint="default" w:ascii="Trebuchet MS" w:hAnsi="Trebuchet MS"/>
          <w:lang w:eastAsia="zh-CN"/>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dostaw</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 xml:space="preserve">o którym mowa w art. 214 ust.1 pkt </w:t>
      </w:r>
      <w:r>
        <w:rPr>
          <w:rFonts w:hint="default" w:ascii="Trebuchet MS" w:hAnsi="Trebuchet MS" w:cs="Arial"/>
          <w:lang w:val="pl-PL"/>
        </w:rPr>
        <w:t>8</w:t>
      </w:r>
      <w:r>
        <w:rPr>
          <w:rFonts w:ascii="Trebuchet MS" w:hAnsi="Trebuchet MS" w:cs="Arial"/>
        </w:rPr>
        <w:t xml:space="preserve">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Zamówienie należy zrealizować w ter</w:t>
      </w:r>
      <w:r>
        <w:rPr>
          <w:rFonts w:ascii="Trebuchet MS" w:hAnsi="Trebuchet MS" w:cs="Arial"/>
          <w:highlight w:val="none"/>
        </w:rPr>
        <w:t xml:space="preserve">minie: </w:t>
      </w:r>
      <w:r>
        <w:rPr>
          <w:rFonts w:ascii="Trebuchet MS" w:hAnsi="Trebuchet MS" w:cs="Arial"/>
          <w:b/>
          <w:highlight w:val="none"/>
        </w:rPr>
        <w:t xml:space="preserve">do </w:t>
      </w:r>
      <w:r>
        <w:rPr>
          <w:rFonts w:hint="default" w:ascii="Trebuchet MS" w:hAnsi="Trebuchet MS" w:cs="Arial"/>
          <w:b/>
          <w:highlight w:val="none"/>
          <w:lang w:val="pl-PL"/>
        </w:rPr>
        <w:t>10</w:t>
      </w:r>
      <w:r>
        <w:rPr>
          <w:rFonts w:ascii="Trebuchet MS" w:hAnsi="Trebuchet MS" w:cs="Arial"/>
          <w:b/>
          <w:highlight w:val="none"/>
        </w:rPr>
        <w:t>0 dni od dnia zawarcia umowy.</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w:t>
      </w:r>
      <w:r>
        <w:rPr>
          <w:rFonts w:ascii="Trebuchet MS" w:hAnsi="Trebuchet MS" w:cs="Arial"/>
          <w:highlight w:val="none"/>
        </w:rPr>
        <w:t xml:space="preserve">awiera załącznik nr </w:t>
      </w:r>
      <w:r>
        <w:rPr>
          <w:rFonts w:hint="default" w:ascii="Trebuchet MS" w:hAnsi="Trebuchet MS" w:cs="Arial"/>
          <w:highlight w:val="none"/>
          <w:lang w:val="pl-PL"/>
        </w:rPr>
        <w:t>4</w:t>
      </w:r>
      <w:r>
        <w:rPr>
          <w:rFonts w:ascii="Trebuchet MS" w:hAnsi="Trebuchet MS" w:cs="Arial"/>
          <w:highlight w:val="none"/>
        </w:rPr>
        <w:t xml:space="preserve">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Pr>
          <w:rFonts w:hint="default" w:ascii="Trebuchet MS" w:hAnsi="Trebuchet MS" w:cs="Arial"/>
          <w:lang w:val="pl-PL"/>
        </w:rPr>
        <w:t>4</w:t>
      </w:r>
      <w:r>
        <w:rPr>
          <w:rFonts w:ascii="Trebuchet MS" w:hAnsi="Trebuchet MS" w:cs="Arial"/>
        </w:rPr>
        <w:t xml:space="preserve">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360" w:lineRule="auto"/>
        <w:jc w:val="both"/>
        <w:rPr>
          <w:rFonts w:ascii="Trebuchet MS" w:hAnsi="Trebuchet MS" w:cs="Arial"/>
          <w:b/>
          <w:bCs w:val="0"/>
        </w:rPr>
      </w:pPr>
      <w:r>
        <w:rPr>
          <w:rFonts w:ascii="Trebuchet MS" w:hAnsi="Trebuchet MS" w:cs="Arial"/>
        </w:rPr>
        <w:t xml:space="preserve">Wykonawca poda cenę ofertową na formularzu oferty, zgodnie z </w:t>
      </w:r>
      <w:r>
        <w:rPr>
          <w:rFonts w:ascii="Trebuchet MS" w:hAnsi="Trebuchet MS" w:cs="Arial"/>
          <w:b/>
          <w:bCs w:val="0"/>
        </w:rPr>
        <w:t>załącznikiem nr 1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w:t>
      </w:r>
      <w:r>
        <w:rPr>
          <w:rFonts w:hint="default" w:ascii="Trebuchet MS" w:hAnsi="Trebuchet MS" w:cs="Arial"/>
          <w:lang w:val="pl-PL"/>
        </w:rPr>
        <w:t>3</w:t>
      </w:r>
      <w:r>
        <w:rPr>
          <w:rFonts w:ascii="Trebuchet MS" w:hAnsi="Trebuchet MS" w:cs="Arial"/>
        </w:rPr>
        <w:t xml:space="preserve">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 xml:space="preserve">w projektowanych postanowieniach umowy w sprawie zamówienia, które zostaną wprowadzone do treści tej umowy, stanowiących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w:t>
      </w:r>
      <w:r>
        <w:rPr>
          <w:rFonts w:ascii="Trebuchet MS" w:hAnsi="Trebuchet MS" w:cs="Arial"/>
          <w:highlight w:val="none"/>
        </w:rPr>
        <w:t xml:space="preserve"> zawartych w rozdziale XVI SWZ or</w:t>
      </w:r>
      <w:r>
        <w:rPr>
          <w:rFonts w:ascii="Trebuchet MS" w:hAnsi="Trebuchet MS" w:cs="Arial"/>
        </w:rPr>
        <w:t xml:space="preserve">az w ust. 2 i w ust. 4 niniejszego rozdziału SWZ, komunikacja między Zamawiającym a Wykonawcami może się odbywać wyłącznie przy użyciu środków komunikacji elektronicznej w rozumieniu ustawy z dnia 18 lipca 2002 r. </w:t>
      </w:r>
      <w:r>
        <w:rPr>
          <w:rFonts w:ascii="Trebuchet MS" w:hAnsi="Trebuchet MS" w:cs="Arial"/>
          <w:highlight w:val="none"/>
        </w:rPr>
        <w:t>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"https://platformazakupowa.pl/transakcja/918833"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https://platformazakupowa.pl/transakcja/918833</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r>
        <w:rPr>
          <w:rFonts w:hint="default" w:ascii="Trebuchet MS" w:hAnsi="Trebuchet MS" w:cs="Arial"/>
          <w:lang w:val="pl-PL"/>
        </w:rPr>
        <w:t>.</w:t>
      </w:r>
    </w:p>
    <w:p>
      <w:pPr>
        <w:pStyle w:val="39"/>
        <w:numPr>
          <w:ilvl w:val="0"/>
          <w:numId w:val="0"/>
        </w:numPr>
        <w:spacing w:line="276" w:lineRule="auto"/>
        <w:ind w:leftChars="0"/>
        <w:jc w:val="both"/>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w:t>
      </w:r>
      <w:r>
        <w:rPr>
          <w:rFonts w:hint="default" w:ascii="Trebuchet MS" w:hAnsi="Trebuchet MS"/>
          <w:lang w:val="pl-PL"/>
        </w:rPr>
        <w:t xml:space="preserve"> z późn. zm.</w:t>
      </w:r>
      <w:r>
        <w:rPr>
          <w:rFonts w:ascii="Trebuchet MS" w:hAnsi="Trebuchet MS"/>
        </w:rPr>
        <w:t>),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highlight w:val="none"/>
        </w:rPr>
        <w:t xml:space="preserve">podmiotowych środków dowodowych – odpowiednio Wykonawca, Wykonawca wspólnie </w:t>
      </w:r>
      <w:r>
        <w:rPr>
          <w:rFonts w:ascii="Trebuchet MS" w:hAnsi="Trebuchet MS"/>
        </w:rPr>
        <w:t xml:space="preserve">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highlight w:val="none"/>
        </w:rPr>
        <w:t>Ofertę należy sporządzić na formularzu oferty lub według takiego samego schematu, stanowiącego załącznik nr 1</w:t>
      </w:r>
      <w:r>
        <w:rPr>
          <w:rFonts w:ascii="Trebuchet MS" w:hAnsi="Trebuchet MS" w:cs="Arial"/>
          <w:b/>
          <w:sz w:val="20"/>
          <w:highlight w:val="none"/>
        </w:rPr>
        <w:t xml:space="preserve"> </w:t>
      </w:r>
      <w:r>
        <w:rPr>
          <w:rFonts w:ascii="Trebuchet MS" w:hAnsi="Trebuchet MS" w:cs="Arial"/>
          <w:sz w:val="20"/>
          <w:highlight w:val="none"/>
        </w:rPr>
        <w:t>do SWZ. O</w:t>
      </w:r>
      <w:r>
        <w:rPr>
          <w:rFonts w:ascii="Trebuchet MS" w:hAnsi="Trebuchet MS" w:cs="Arial"/>
          <w:sz w:val="20"/>
        </w:rPr>
        <w:t>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highlight w:val="none"/>
        </w:rPr>
        <w:t>Wraz z ofertą</w:t>
      </w:r>
      <w:r>
        <w:rPr>
          <w:rFonts w:ascii="Trebuchet MS" w:hAnsi="Trebuchet MS" w:cs="Arial"/>
          <w:b/>
          <w:sz w:val="20"/>
        </w:rPr>
        <w:t xml:space="preserve">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w:t>
      </w:r>
      <w:r>
        <w:rPr>
          <w:rFonts w:hint="default" w:ascii="Trebuchet MS" w:hAnsi="Trebuchet MS" w:cs="Arial"/>
          <w:lang w:val="pl-PL"/>
        </w:rPr>
        <w:t>,</w:t>
      </w:r>
      <w:r>
        <w:rPr>
          <w:rFonts w:ascii="Trebuchet MS" w:hAnsi="Trebuchet MS" w:cs="Arial"/>
        </w:rPr>
        <w:t xml:space="preserve">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highlight w:val="none"/>
        </w:rPr>
      </w:pPr>
      <w:r>
        <w:rPr>
          <w:rFonts w:ascii="Trebuchet MS" w:hAnsi="Trebuchet MS" w:cs="Arial"/>
          <w:highlight w:val="none"/>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highlight w:val="none"/>
        </w:rPr>
        <w:t xml:space="preserve">Upoważnienie (pełnomocnictwo) do podpisania oferty, </w:t>
      </w:r>
      <w:r>
        <w:rPr>
          <w:rFonts w:ascii="Trebuchet MS" w:hAnsi="Trebuchet MS" w:cs="Arial"/>
        </w:rPr>
        <w:t>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hint="default" w:ascii="Trebuchet MS" w:hAnsi="Trebuchet MS" w:cs="Arial"/>
          <w:lang w:val="pl-PL"/>
        </w:rPr>
        <w:t xml:space="preserve"> </w:t>
      </w:r>
      <w:r>
        <w:rPr>
          <w:rFonts w:ascii="Trebuchet MS" w:hAnsi="Trebuchet MS" w:cs="Arial"/>
        </w:rPr>
        <w:t>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highlight w:val="none"/>
          <w:u w:val="single"/>
        </w:rPr>
      </w:pPr>
      <w:r>
        <w:rPr>
          <w:rFonts w:ascii="Trebuchet MS" w:hAnsi="Trebuchet MS" w:cs="Arial"/>
          <w:color w:val="000000" w:themeColor="text1"/>
          <w:highlight w:val="none"/>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bCs/>
        </w:rPr>
        <w:t>W przypadku wspólnego ubiegania się o udzielenie zamówieni</w:t>
      </w:r>
      <w:r>
        <w:rPr>
          <w:rFonts w:hint="default" w:ascii="Trebuchet MS" w:hAnsi="Trebuchet MS"/>
          <w:bCs/>
          <w:lang w:val="pl-PL"/>
        </w:rPr>
        <w:t>a</w:t>
      </w:r>
      <w:r>
        <w:rPr>
          <w:rFonts w:ascii="Trebuchet MS" w:hAnsi="Trebuchet MS"/>
          <w:bCs/>
        </w:rPr>
        <w:t xml:space="preserve"> 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8"/>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pPr>
        <w:pStyle w:val="39"/>
        <w:numPr>
          <w:ilvl w:val="0"/>
          <w:numId w:val="29"/>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0"/>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1"/>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0"/>
        </w:numPr>
        <w:spacing w:line="276" w:lineRule="auto"/>
        <w:ind w:leftChars="0"/>
        <w:jc w:val="both"/>
        <w:rPr>
          <w:rFonts w:ascii="Trebuchet MS" w:hAnsi="Trebuchet MS" w:cs="Arial"/>
          <w:b/>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0"/>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0"/>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0"/>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w:t>
      </w:r>
      <w:r>
        <w:rPr>
          <w:rFonts w:ascii="Trebuchet MS" w:hAnsi="Trebuchet MS" w:cs="Arial"/>
          <w:b/>
          <w:bCs/>
        </w:rPr>
        <w:t xml:space="preserve">Dz.U. </w:t>
      </w:r>
      <w:r>
        <w:rPr>
          <w:rFonts w:hint="default" w:ascii="Trebuchet MS" w:hAnsi="Trebuchet MS" w:cs="Arial"/>
          <w:b/>
          <w:bCs/>
          <w:lang w:val="pl-PL"/>
        </w:rPr>
        <w:t xml:space="preserve">z 2024r. </w:t>
      </w:r>
      <w:r>
        <w:rPr>
          <w:rFonts w:ascii="Trebuchet MS" w:hAnsi="Trebuchet MS" w:cs="Arial"/>
          <w:b/>
          <w:bCs/>
        </w:rPr>
        <w:t xml:space="preserve">poz. </w:t>
      </w:r>
      <w:r>
        <w:rPr>
          <w:rFonts w:hint="default" w:ascii="Trebuchet MS" w:hAnsi="Trebuchet MS" w:cs="Arial"/>
          <w:b/>
          <w:bCs/>
          <w:lang w:val="pl-PL"/>
        </w:rPr>
        <w:t>507</w:t>
      </w:r>
      <w:r>
        <w:rPr>
          <w:rFonts w:ascii="Trebuchet MS" w:hAnsi="Trebuchet MS" w:cs="Arial"/>
          <w:b/>
        </w:rPr>
        <w:t>).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567"/>
          <w:tab w:val="left" w:pos="2340"/>
        </w:tabs>
        <w:spacing w:line="276" w:lineRule="auto"/>
        <w:jc w:val="both"/>
        <w:rPr>
          <w:rFonts w:ascii="Trebuchet MS" w:hAnsi="Trebuchet MS" w:cs="Arial"/>
          <w:highlight w:val="cyan"/>
        </w:rPr>
      </w:pPr>
    </w:p>
    <w:p>
      <w:pPr>
        <w:pStyle w:val="39"/>
        <w:numPr>
          <w:ilvl w:val="0"/>
          <w:numId w:val="30"/>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pStyle w:val="39"/>
        <w:numPr>
          <w:ilvl w:val="1"/>
          <w:numId w:val="30"/>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2"/>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2"/>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highlight w:val="cyan"/>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3"/>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"https://platformazakupowa.pl/transakcja/918833"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https://platformazakupowa.pl/transakcja/918833</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sz w:val="20"/>
        </w:rPr>
        <w:t xml:space="preserve">nie później niż </w:t>
      </w:r>
      <w:r>
        <w:rPr>
          <w:rFonts w:ascii="Trebuchet MS" w:hAnsi="Trebuchet MS" w:cs="Arial"/>
          <w:sz w:val="20"/>
          <w:highlight w:val="none"/>
        </w:rPr>
        <w:t>do dnia</w:t>
      </w:r>
      <w:r>
        <w:rPr>
          <w:rFonts w:ascii="Trebuchet MS" w:hAnsi="Trebuchet MS" w:cs="Arial"/>
          <w:b/>
          <w:sz w:val="20"/>
          <w:highlight w:val="none"/>
        </w:rPr>
        <w:t xml:space="preserve"> </w:t>
      </w:r>
      <w:r>
        <w:rPr>
          <w:rFonts w:hint="default" w:ascii="Trebuchet MS" w:hAnsi="Trebuchet MS" w:cs="Arial"/>
          <w:b/>
          <w:sz w:val="20"/>
          <w:highlight w:val="none"/>
          <w:lang w:val="pl-PL"/>
        </w:rPr>
        <w:t>09</w:t>
      </w:r>
      <w:r>
        <w:rPr>
          <w:rFonts w:ascii="Trebuchet MS" w:hAnsi="Trebuchet MS" w:cs="Arial"/>
          <w:b/>
          <w:sz w:val="20"/>
          <w:highlight w:val="none"/>
        </w:rPr>
        <w:t>.0</w:t>
      </w:r>
      <w:r>
        <w:rPr>
          <w:rFonts w:hint="default" w:ascii="Trebuchet MS" w:hAnsi="Trebuchet MS" w:cs="Arial"/>
          <w:b/>
          <w:sz w:val="20"/>
          <w:highlight w:val="none"/>
          <w:lang w:val="pl-PL"/>
        </w:rPr>
        <w:t>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highlight w:val="none"/>
        </w:rPr>
      </w:pP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none"/>
        </w:rPr>
      </w:pPr>
    </w:p>
    <w:p>
      <w:pPr>
        <w:pStyle w:val="14"/>
        <w:numPr>
          <w:ilvl w:val="0"/>
          <w:numId w:val="33"/>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pPr>
        <w:pStyle w:val="14"/>
        <w:numPr>
          <w:ilvl w:val="0"/>
          <w:numId w:val="0"/>
        </w:numPr>
        <w:tabs>
          <w:tab w:val="left" w:pos="426"/>
        </w:tabs>
        <w:spacing w:line="276" w:lineRule="auto"/>
        <w:ind w:leftChars="0" w:right="28" w:rightChars="0"/>
        <w:rPr>
          <w:rFonts w:ascii="Trebuchet MS" w:hAnsi="Trebuchet MS" w:cs="Arial"/>
          <w:sz w:val="20"/>
          <w:highlight w:val="none"/>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07</w:t>
      </w:r>
      <w:r>
        <w:rPr>
          <w:rFonts w:ascii="Trebuchet MS" w:hAnsi="Trebuchet MS" w:cs="Arial"/>
          <w:b/>
          <w:sz w:val="20"/>
          <w:highlight w:val="none"/>
        </w:rPr>
        <w:t>.0</w:t>
      </w:r>
      <w:r>
        <w:rPr>
          <w:rFonts w:hint="default" w:ascii="Trebuchet MS" w:hAnsi="Trebuchet MS" w:cs="Arial"/>
          <w:b/>
          <w:sz w:val="20"/>
          <w:highlight w:val="none"/>
          <w:lang w:val="pl-PL"/>
        </w:rPr>
        <w:t>6</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highlight w:val="none"/>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pPr>
        <w:pStyle w:val="14"/>
        <w:spacing w:line="276" w:lineRule="auto"/>
        <w:ind w:left="426" w:right="28" w:hanging="426"/>
        <w:rPr>
          <w:rFonts w:ascii="Trebuchet MS" w:hAnsi="Trebuchet MS" w:cs="Arial"/>
          <w:sz w:val="18"/>
          <w:highlight w:val="none"/>
        </w:rPr>
      </w:pPr>
    </w:p>
    <w:p>
      <w:pPr>
        <w:pStyle w:val="14"/>
        <w:numPr>
          <w:ilvl w:val="0"/>
          <w:numId w:val="34"/>
        </w:numPr>
        <w:tabs>
          <w:tab w:val="clear" w:pos="567"/>
        </w:tabs>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09</w:t>
      </w:r>
      <w:r>
        <w:rPr>
          <w:rFonts w:ascii="Trebuchet MS" w:hAnsi="Trebuchet MS" w:cs="Arial"/>
          <w:b/>
          <w:sz w:val="20"/>
          <w:highlight w:val="none"/>
        </w:rPr>
        <w:t>.0</w:t>
      </w:r>
      <w:r>
        <w:rPr>
          <w:rFonts w:hint="default" w:ascii="Trebuchet MS" w:hAnsi="Trebuchet MS" w:cs="Arial"/>
          <w:b/>
          <w:sz w:val="20"/>
          <w:highlight w:val="none"/>
          <w:lang w:val="pl-PL"/>
        </w:rPr>
        <w:t>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 w pokoju 206,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p>
    <w:p>
      <w:pPr>
        <w:pStyle w:val="14"/>
        <w:spacing w:line="276" w:lineRule="auto"/>
        <w:ind w:left="426" w:right="28"/>
        <w:rPr>
          <w:rFonts w:ascii="Trebuchet MS" w:hAnsi="Trebuchet MS" w:cs="Arial"/>
          <w:sz w:val="20"/>
          <w:highlight w:val="none"/>
        </w:rPr>
      </w:pPr>
    </w:p>
    <w:p>
      <w:pPr>
        <w:pStyle w:val="14"/>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4"/>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4"/>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numPr>
          <w:ilvl w:val="0"/>
          <w:numId w:val="36"/>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cena ofertowa IP1 –  100 pkt (waga kryterium wyrażona w punktach)</w:t>
      </w:r>
      <w:r>
        <w:rPr>
          <w:rFonts w:hint="default" w:ascii="Trebuchet MS" w:hAnsi="Trebuchet MS" w:cs="Arial"/>
          <w:b/>
          <w:lang w:val="pl-PL"/>
        </w:rPr>
        <w:t>.</w:t>
      </w:r>
    </w:p>
    <w:p>
      <w:pPr>
        <w:spacing w:line="288" w:lineRule="auto"/>
        <w:ind w:left="567"/>
        <w:jc w:val="both"/>
        <w:rPr>
          <w:rFonts w:ascii="Trebuchet MS" w:hAnsi="Trebuchet MS" w:cs="Arial"/>
        </w:rPr>
      </w:pPr>
    </w:p>
    <w:p>
      <w:pPr>
        <w:numPr>
          <w:ilvl w:val="0"/>
          <w:numId w:val="36"/>
        </w:numPr>
        <w:spacing w:line="288" w:lineRule="auto"/>
        <w:jc w:val="both"/>
        <w:rPr>
          <w:rFonts w:ascii="Trebuchet MS" w:hAnsi="Trebuchet MS" w:cs="Arial"/>
          <w:highlight w:val="none"/>
        </w:rPr>
      </w:pPr>
      <w:r>
        <w:rPr>
          <w:rFonts w:ascii="Trebuchet MS" w:hAnsi="Trebuchet MS" w:cs="Arial"/>
          <w:highlight w:val="none"/>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p>
    <w:p>
      <w:pPr>
        <w:spacing w:line="288" w:lineRule="auto"/>
        <w:jc w:val="center"/>
        <w:rPr>
          <w:rFonts w:ascii="Trebuchet MS" w:hAnsi="Trebuchet MS" w:cs="Arial"/>
          <w:b/>
          <w:highlight w:val="none"/>
        </w:rPr>
      </w:pPr>
      <w:r>
        <w:rPr>
          <w:rFonts w:hint="default" w:ascii="Trebuchet MS" w:hAnsi="Trebuchet MS" w:cs="Arial"/>
          <w:b/>
          <w:highlight w:val="none"/>
          <w:lang w:val="pl-PL"/>
        </w:rPr>
        <w:t xml:space="preserve"> </w:t>
      </w:r>
      <w:r>
        <w:rPr>
          <w:rFonts w:ascii="Trebuchet MS" w:hAnsi="Trebuchet MS" w:cs="Arial"/>
          <w:b/>
          <w:highlight w:val="none"/>
        </w:rPr>
        <w:t>CN</w:t>
      </w:r>
    </w:p>
    <w:p>
      <w:pPr>
        <w:spacing w:line="288" w:lineRule="auto"/>
        <w:jc w:val="center"/>
        <w:rPr>
          <w:rFonts w:ascii="Trebuchet MS" w:hAnsi="Trebuchet MS" w:cs="Arial"/>
          <w:b/>
          <w:highlight w:val="none"/>
        </w:rPr>
      </w:pPr>
      <w:r>
        <w:rPr>
          <w:rFonts w:ascii="Trebuchet MS" w:hAnsi="Trebuchet MS" w:cs="Arial"/>
          <w:b/>
          <w:highlight w:val="none"/>
        </w:rPr>
        <w:t>IP1</w:t>
      </w:r>
      <w:r>
        <w:rPr>
          <w:rFonts w:ascii="Trebuchet MS" w:hAnsi="Trebuchet MS" w:cs="Arial"/>
          <w:b/>
          <w:highlight w:val="none"/>
          <w:vertAlign w:val="superscript"/>
        </w:rPr>
        <w:t xml:space="preserve"> </w:t>
      </w:r>
      <w:r>
        <w:rPr>
          <w:rFonts w:ascii="Trebuchet MS" w:hAnsi="Trebuchet MS" w:cs="Arial"/>
          <w:b/>
          <w:highlight w:val="none"/>
        </w:rPr>
        <w:t xml:space="preserve">  =   -----   x  Zc</w:t>
      </w:r>
    </w:p>
    <w:p>
      <w:pPr>
        <w:spacing w:line="288" w:lineRule="auto"/>
        <w:jc w:val="center"/>
        <w:rPr>
          <w:rFonts w:ascii="Trebuchet MS" w:hAnsi="Trebuchet MS" w:cs="Arial"/>
          <w:b/>
          <w:highlight w:val="none"/>
        </w:rPr>
      </w:pPr>
      <w:r>
        <w:rPr>
          <w:rFonts w:hint="default" w:ascii="Trebuchet MS" w:hAnsi="Trebuchet MS" w:cs="Arial"/>
          <w:b/>
          <w:highlight w:val="none"/>
          <w:lang w:val="pl-PL"/>
        </w:rPr>
        <w:t xml:space="preserve"> </w:t>
      </w:r>
      <w:r>
        <w:rPr>
          <w:rFonts w:ascii="Trebuchet MS" w:hAnsi="Trebuchet MS" w:cs="Arial"/>
          <w:b/>
          <w:highlight w:val="none"/>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pStyle w:val="124"/>
        <w:spacing w:line="360" w:lineRule="auto"/>
        <w:ind w:left="600" w:leftChars="300" w:firstLine="0" w:firstLineChars="0"/>
        <w:rPr>
          <w:rFonts w:hint="default"/>
          <w:sz w:val="20"/>
          <w:szCs w:val="20"/>
          <w:lang w:val="pl-PL"/>
        </w:rPr>
      </w:pPr>
      <w:r>
        <w:rPr>
          <w:rFonts w:ascii="Trebuchet MS" w:hAnsi="Trebuchet MS" w:cs="Arial"/>
          <w:b/>
        </w:rPr>
        <w:t xml:space="preserve">Uwaga: </w:t>
      </w:r>
      <w:r>
        <w:rPr>
          <w:rFonts w:ascii="Trebuchet MS" w:hAnsi="Trebuchet MS" w:cs="Arial"/>
        </w:rPr>
        <w:t xml:space="preserve">Wymagania </w:t>
      </w:r>
      <w:r>
        <w:rPr>
          <w:rFonts w:ascii="Trebuchet MS" w:hAnsi="Trebuchet MS" w:eastAsia="Times New Roman" w:cs="Arial"/>
          <w:color w:val="000000"/>
          <w:sz w:val="20"/>
          <w:szCs w:val="20"/>
        </w:rPr>
        <w:t xml:space="preserve">jakościowe o których mowa w art. 246 ust. 2 ustawy zostały wskazane </w:t>
      </w:r>
      <w:r>
        <w:rPr>
          <w:rFonts w:hint="default" w:ascii="Trebuchet MS" w:hAnsi="Trebuchet MS" w:cs="Arial"/>
          <w:color w:val="000000"/>
          <w:sz w:val="20"/>
          <w:szCs w:val="20"/>
          <w:lang w:val="pl-PL"/>
        </w:rPr>
        <w:t xml:space="preserve">        </w:t>
      </w:r>
      <w:r>
        <w:rPr>
          <w:rFonts w:ascii="Trebuchet MS" w:hAnsi="Trebuchet MS" w:eastAsia="Times New Roman" w:cs="Arial"/>
          <w:color w:val="000000"/>
          <w:sz w:val="20"/>
          <w:szCs w:val="20"/>
        </w:rPr>
        <w:t xml:space="preserve">w opisie przedmiotu zamówienia stanowiącym załącznik do </w:t>
      </w:r>
      <w:r>
        <w:rPr>
          <w:rFonts w:hint="default" w:ascii="Trebuchet MS" w:hAnsi="Trebuchet MS" w:cs="Arial"/>
          <w:color w:val="000000"/>
          <w:sz w:val="20"/>
          <w:szCs w:val="20"/>
          <w:lang w:val="pl-PL"/>
        </w:rPr>
        <w:t>SWZ</w:t>
      </w:r>
      <w:r>
        <w:rPr>
          <w:rFonts w:ascii="Trebuchet MS" w:hAnsi="Trebuchet MS" w:eastAsia="Times New Roman" w:cs="Arial"/>
          <w:color w:val="000000"/>
          <w:sz w:val="20"/>
          <w:szCs w:val="20"/>
        </w:rPr>
        <w:t>. Zamawiający jest uprawniony do zastosowania kryterium ceny o wadze przekraczającej 60%. Dokumenty</w:t>
      </w:r>
      <w:r>
        <w:rPr>
          <w:rFonts w:hint="default" w:ascii="Trebuchet MS" w:hAnsi="Trebuchet MS" w:cs="Arial"/>
          <w:color w:val="000000"/>
          <w:sz w:val="20"/>
          <w:szCs w:val="20"/>
          <w:lang w:val="pl-PL"/>
        </w:rPr>
        <w:t xml:space="preserve"> </w:t>
      </w:r>
      <w:r>
        <w:rPr>
          <w:rFonts w:ascii="Trebuchet MS" w:hAnsi="Trebuchet MS" w:eastAsia="Times New Roman" w:cs="Arial"/>
          <w:color w:val="000000"/>
          <w:sz w:val="20"/>
          <w:szCs w:val="20"/>
        </w:rPr>
        <w:t>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pPr>
        <w:spacing w:line="288" w:lineRule="auto"/>
        <w:ind w:left="709" w:right="28" w:hanging="709"/>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pacing w:line="360" w:lineRule="auto"/>
        <w:ind w:right="28"/>
        <w:jc w:val="both"/>
        <w:rPr>
          <w:rFonts w:ascii="Trebuchet MS" w:hAnsi="Trebuchet MS" w:cs="Arial"/>
          <w:highlight w:val="yellow"/>
        </w:rPr>
      </w:pPr>
    </w:p>
    <w:p>
      <w:pPr>
        <w:spacing w:line="360" w:lineRule="auto"/>
        <w:ind w:right="28"/>
        <w:jc w:val="both"/>
        <w:rPr>
          <w:rFonts w:ascii="Trebuchet MS" w:hAnsi="Trebuchet MS" w:cs="Arial"/>
          <w:highlight w:val="yellow"/>
        </w:rPr>
      </w:pPr>
    </w:p>
    <w:p>
      <w:pPr>
        <w:spacing w:line="360" w:lineRule="auto"/>
        <w:ind w:right="28"/>
        <w:jc w:val="both"/>
        <w:rPr>
          <w:rFonts w:ascii="Trebuchet MS" w:hAnsi="Trebuchet MS" w:cs="Arial"/>
          <w:highlight w:val="yellow"/>
        </w:rPr>
      </w:pPr>
    </w:p>
    <w:p>
      <w:pPr>
        <w:spacing w:line="360" w:lineRule="auto"/>
        <w:ind w:right="28"/>
        <w:jc w:val="both"/>
        <w:rPr>
          <w:rFonts w:ascii="Trebuchet MS" w:hAnsi="Trebuchet MS" w:cs="Arial"/>
          <w:highlight w:val="yellow"/>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38"/>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38"/>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spacing w:line="276" w:lineRule="auto"/>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numPr>
          <w:ilvl w:val="0"/>
          <w:numId w:val="0"/>
        </w:numPr>
        <w:spacing w:line="360"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p>
      <w:pPr>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7">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39">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0">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1">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8"/>
  </w:num>
  <w:num w:numId="3">
    <w:abstractNumId w:val="27"/>
  </w:num>
  <w:num w:numId="4">
    <w:abstractNumId w:val="1"/>
  </w:num>
  <w:num w:numId="5">
    <w:abstractNumId w:val="35"/>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0"/>
  </w:num>
  <w:num w:numId="12">
    <w:abstractNumId w:val="3"/>
  </w:num>
  <w:num w:numId="13">
    <w:abstractNumId w:val="23"/>
  </w:num>
  <w:num w:numId="14">
    <w:abstractNumId w:val="12"/>
  </w:num>
  <w:num w:numId="15">
    <w:abstractNumId w:val="9"/>
  </w:num>
  <w:num w:numId="16">
    <w:abstractNumId w:val="32"/>
  </w:num>
  <w:num w:numId="17">
    <w:abstractNumId w:val="33"/>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34"/>
  </w:num>
  <w:num w:numId="26">
    <w:abstractNumId w:val="19"/>
  </w:num>
  <w:num w:numId="27">
    <w:abstractNumId w:val="25"/>
  </w:num>
  <w:num w:numId="28">
    <w:abstractNumId w:val="22"/>
  </w:num>
  <w:num w:numId="29">
    <w:abstractNumId w:val="2"/>
  </w:num>
  <w:num w:numId="30">
    <w:abstractNumId w:val="28"/>
  </w:num>
  <w:num w:numId="31">
    <w:abstractNumId w:val="4"/>
  </w:num>
  <w:num w:numId="32">
    <w:abstractNumId w:val="26"/>
  </w:num>
  <w:num w:numId="33">
    <w:abstractNumId w:val="16"/>
  </w:num>
  <w:num w:numId="34">
    <w:abstractNumId w:val="5"/>
  </w:num>
  <w:num w:numId="35">
    <w:abstractNumId w:val="39"/>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 w:numId="40">
    <w:abstractNumId w:val="24"/>
  </w:num>
  <w:num w:numId="41">
    <w:abstractNumId w:val="14"/>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070422"/>
    <w:rsid w:val="0277301A"/>
    <w:rsid w:val="028B170A"/>
    <w:rsid w:val="04BF043A"/>
    <w:rsid w:val="04E00EF3"/>
    <w:rsid w:val="07240274"/>
    <w:rsid w:val="0A9F6AEC"/>
    <w:rsid w:val="0B300C6A"/>
    <w:rsid w:val="0B8D4A3A"/>
    <w:rsid w:val="0D7843E5"/>
    <w:rsid w:val="0DD359BA"/>
    <w:rsid w:val="139434DC"/>
    <w:rsid w:val="18725A29"/>
    <w:rsid w:val="19080571"/>
    <w:rsid w:val="195E4985"/>
    <w:rsid w:val="1AA4441F"/>
    <w:rsid w:val="1DFD7BCB"/>
    <w:rsid w:val="1EF6480B"/>
    <w:rsid w:val="1F25538F"/>
    <w:rsid w:val="1FF42570"/>
    <w:rsid w:val="209B3D8A"/>
    <w:rsid w:val="21066CBD"/>
    <w:rsid w:val="23A94F9E"/>
    <w:rsid w:val="23C40EF0"/>
    <w:rsid w:val="285B0D0B"/>
    <w:rsid w:val="29771C45"/>
    <w:rsid w:val="2AF958D5"/>
    <w:rsid w:val="2E9B3017"/>
    <w:rsid w:val="2F051E27"/>
    <w:rsid w:val="2F8A7753"/>
    <w:rsid w:val="2FB7503E"/>
    <w:rsid w:val="30E24C4D"/>
    <w:rsid w:val="31305B74"/>
    <w:rsid w:val="31C439B2"/>
    <w:rsid w:val="345D0BC3"/>
    <w:rsid w:val="3490655E"/>
    <w:rsid w:val="36B934D6"/>
    <w:rsid w:val="371F0730"/>
    <w:rsid w:val="382452A5"/>
    <w:rsid w:val="3BA932EE"/>
    <w:rsid w:val="3E833A1C"/>
    <w:rsid w:val="41E06CA1"/>
    <w:rsid w:val="46FF2E1E"/>
    <w:rsid w:val="480A0496"/>
    <w:rsid w:val="4B1A6144"/>
    <w:rsid w:val="4D8D5BC8"/>
    <w:rsid w:val="503E7D35"/>
    <w:rsid w:val="50E70A3B"/>
    <w:rsid w:val="550A6522"/>
    <w:rsid w:val="56202CF0"/>
    <w:rsid w:val="56B241CC"/>
    <w:rsid w:val="58CC40D2"/>
    <w:rsid w:val="598D451E"/>
    <w:rsid w:val="5AEF3E11"/>
    <w:rsid w:val="5B264BA6"/>
    <w:rsid w:val="5BB82905"/>
    <w:rsid w:val="5BCC51C5"/>
    <w:rsid w:val="5C205246"/>
    <w:rsid w:val="5EA500C8"/>
    <w:rsid w:val="5F3560BF"/>
    <w:rsid w:val="5F8E6905"/>
    <w:rsid w:val="600A6BA7"/>
    <w:rsid w:val="606A3F3D"/>
    <w:rsid w:val="607859A7"/>
    <w:rsid w:val="61382EE8"/>
    <w:rsid w:val="625634A0"/>
    <w:rsid w:val="694B05BE"/>
    <w:rsid w:val="6C452269"/>
    <w:rsid w:val="6D3A7BEE"/>
    <w:rsid w:val="6E407183"/>
    <w:rsid w:val="6F7F6679"/>
    <w:rsid w:val="7D673673"/>
    <w:rsid w:val="7DEA4EFB"/>
    <w:rsid w:val="7E1F7D0D"/>
    <w:rsid w:val="7EB32FEC"/>
    <w:rsid w:val="7FEF58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autoRedefine/>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autoRedefine/>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autoRedefine/>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autoRedefine/>
    <w:qFormat/>
    <w:uiPriority w:val="99"/>
    <w:pPr>
      <w:tabs>
        <w:tab w:val="left" w:pos="1584"/>
      </w:tabs>
      <w:spacing w:before="240" w:after="60"/>
      <w:ind w:left="1584" w:hanging="1584"/>
      <w:outlineLvl w:val="8"/>
    </w:pPr>
    <w:rPr>
      <w:i/>
      <w:sz w:val="18"/>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autoRedefine/>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Revision"/>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TOC Heading"/>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Unresolved Mention"/>
    <w:basedOn w:val="11"/>
    <w:autoRedefine/>
    <w:semiHidden/>
    <w:unhideWhenUsed/>
    <w:qFormat/>
    <w:uiPriority w:val="99"/>
    <w:rPr>
      <w:color w:val="605E5C"/>
      <w:shd w:val="clear" w:color="auto" w:fill="E1DFDD"/>
    </w:rPr>
  </w:style>
  <w:style w:type="paragraph" w:customStyle="1" w:styleId="124">
    <w:name w:val="Tekst podstawowy 21"/>
    <w:basedOn w:val="1"/>
    <w:autoRedefine/>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9655</Words>
  <Characters>57936</Characters>
  <Lines>482</Lines>
  <Paragraphs>134</Paragraphs>
  <TotalTime>92</TotalTime>
  <ScaleCrop>false</ScaleCrop>
  <LinksUpToDate>false</LinksUpToDate>
  <CharactersWithSpaces>67457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2023-07-26T14:23:00Z</cp:lastPrinted>
  <dcterms:modified xsi:type="dcterms:W3CDTF">2024-04-23T12:05:55Z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CE07AA62526D430E8F28A8197FA67D40</vt:lpwstr>
  </property>
</Properties>
</file>