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Pr="007C726E" w:rsidRDefault="00B02595" w:rsidP="008D1227">
      <w:pPr>
        <w:overflowPunct w:val="0"/>
        <w:autoSpaceDE w:val="0"/>
        <w:autoSpaceDN w:val="0"/>
        <w:adjustRightInd w:val="0"/>
        <w:spacing w:after="0" w:line="240" w:lineRule="auto"/>
        <w:jc w:val="center"/>
        <w:rPr>
          <w:rFonts w:ascii="Times New Roman" w:hAnsi="Times New Roman" w:cs="Times New Roman"/>
          <w:b/>
          <w:bCs/>
          <w:sz w:val="32"/>
          <w:szCs w:val="32"/>
          <w:lang w:eastAsia="pl-PL"/>
        </w:rPr>
      </w:pPr>
      <w:r w:rsidRPr="007C726E">
        <w:rPr>
          <w:rFonts w:ascii="Times New Roman" w:hAnsi="Times New Roman" w:cs="Times New Roman"/>
          <w:b/>
          <w:bCs/>
          <w:sz w:val="32"/>
          <w:szCs w:val="32"/>
          <w:lang w:eastAsia="pl-PL"/>
        </w:rPr>
        <w:t>D - 05.02.00</w:t>
      </w: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32"/>
          <w:szCs w:val="32"/>
          <w:lang w:eastAsia="pl-PL"/>
        </w:rPr>
      </w:pPr>
      <w:r w:rsidRPr="007C726E">
        <w:rPr>
          <w:rFonts w:ascii="Times New Roman" w:hAnsi="Times New Roman" w:cs="Times New Roman"/>
          <w:b/>
          <w:bCs/>
          <w:sz w:val="32"/>
          <w:szCs w:val="32"/>
          <w:lang w:eastAsia="pl-PL"/>
        </w:rPr>
        <w:t> </w:t>
      </w: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32"/>
          <w:szCs w:val="32"/>
          <w:lang w:eastAsia="pl-PL"/>
        </w:rPr>
      </w:pPr>
    </w:p>
    <w:p w:rsidR="00B02595" w:rsidRPr="007C726E" w:rsidRDefault="00B02595" w:rsidP="008D1227">
      <w:pPr>
        <w:overflowPunct w:val="0"/>
        <w:autoSpaceDE w:val="0"/>
        <w:autoSpaceDN w:val="0"/>
        <w:adjustRightInd w:val="0"/>
        <w:spacing w:after="0" w:line="240" w:lineRule="auto"/>
        <w:jc w:val="center"/>
        <w:rPr>
          <w:rFonts w:ascii="Times New Roman" w:hAnsi="Times New Roman" w:cs="Times New Roman"/>
          <w:b/>
          <w:bCs/>
          <w:sz w:val="32"/>
          <w:szCs w:val="32"/>
          <w:lang w:eastAsia="pl-PL"/>
        </w:rPr>
      </w:pPr>
    </w:p>
    <w:p w:rsidR="00B02595" w:rsidRPr="007C726E" w:rsidRDefault="00B02595" w:rsidP="008D1227">
      <w:pPr>
        <w:overflowPunct w:val="0"/>
        <w:autoSpaceDE w:val="0"/>
        <w:autoSpaceDN w:val="0"/>
        <w:adjustRightInd w:val="0"/>
        <w:spacing w:after="0" w:line="240" w:lineRule="auto"/>
        <w:jc w:val="center"/>
        <w:rPr>
          <w:rFonts w:ascii="Times New Roman" w:hAnsi="Times New Roman" w:cs="Times New Roman"/>
          <w:b/>
          <w:bCs/>
          <w:sz w:val="32"/>
          <w:szCs w:val="32"/>
          <w:lang w:eastAsia="pl-PL"/>
        </w:rPr>
      </w:pPr>
      <w:r w:rsidRPr="007C726E">
        <w:rPr>
          <w:rFonts w:ascii="Times New Roman" w:hAnsi="Times New Roman" w:cs="Times New Roman"/>
          <w:b/>
          <w:bCs/>
          <w:sz w:val="32"/>
          <w:szCs w:val="32"/>
          <w:lang w:eastAsia="pl-PL"/>
        </w:rPr>
        <w:t>NAWIERZCHNIE TWARDE NIEULEPSZONE</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 </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0" w:name="_1__WSTĘP"/>
      <w:bookmarkStart w:id="1" w:name="_Toc420895339"/>
      <w:bookmarkStart w:id="2" w:name="_Toc416830698"/>
      <w:bookmarkStart w:id="3" w:name="_Toc404150096"/>
      <w:bookmarkEnd w:id="0"/>
      <w:r w:rsidRPr="005271B6">
        <w:rPr>
          <w:rFonts w:ascii="Times New Roman" w:hAnsi="Times New Roman" w:cs="Times New Roman"/>
          <w:b/>
          <w:bCs/>
          <w:caps/>
          <w:kern w:val="28"/>
          <w:sz w:val="20"/>
          <w:szCs w:val="20"/>
          <w:lang w:eastAsia="pl-PL"/>
        </w:rPr>
        <w:lastRenderedPageBreak/>
        <w:t>1. WSTĘP</w:t>
      </w:r>
      <w:bookmarkEnd w:id="1"/>
      <w:bookmarkEnd w:id="2"/>
      <w:bookmarkEnd w:id="3"/>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bookmarkStart w:id="4" w:name="_Toc405615031"/>
      <w:bookmarkStart w:id="5" w:name="_Toc407161179"/>
      <w:r w:rsidRPr="005271B6">
        <w:rPr>
          <w:rFonts w:ascii="Times New Roman" w:hAnsi="Times New Roman" w:cs="Times New Roman"/>
          <w:b/>
          <w:bCs/>
          <w:sz w:val="20"/>
          <w:szCs w:val="20"/>
          <w:lang w:eastAsia="pl-PL"/>
        </w:rPr>
        <w:t>1.1. Przedmiot OST</w:t>
      </w:r>
      <w:bookmarkEnd w:id="4"/>
      <w:bookmarkEnd w:id="5"/>
    </w:p>
    <w:p w:rsidR="00B02595" w:rsidRPr="000F5CCA" w:rsidRDefault="00B02595" w:rsidP="000F5CCA">
      <w:pPr>
        <w:pStyle w:val="Tekstpodstawowy"/>
        <w:rPr>
          <w:b w:val="0"/>
          <w:bCs w:val="0"/>
          <w:sz w:val="20"/>
          <w:szCs w:val="20"/>
        </w:rPr>
      </w:pPr>
      <w:r w:rsidRPr="005271B6">
        <w:rPr>
          <w:sz w:val="20"/>
          <w:szCs w:val="20"/>
          <w:lang w:eastAsia="pl-PL"/>
        </w:rPr>
        <w:tab/>
      </w:r>
      <w:r w:rsidRPr="000F5CCA">
        <w:rPr>
          <w:b w:val="0"/>
          <w:bCs w:val="0"/>
          <w:sz w:val="20"/>
          <w:szCs w:val="20"/>
          <w:lang w:eastAsia="pl-PL"/>
        </w:rPr>
        <w:t xml:space="preserve">Przedmiotem niniejszej ogólnej specyfikacji technicznej (OST) są wymagania dotyczące wykonania i odbioru robót związanych z wykonywaniem nawierzchni twardych </w:t>
      </w:r>
      <w:r w:rsidRPr="002738CD">
        <w:rPr>
          <w:b w:val="0"/>
          <w:bCs w:val="0"/>
          <w:sz w:val="20"/>
          <w:szCs w:val="20"/>
          <w:lang w:eastAsia="pl-PL"/>
        </w:rPr>
        <w:t xml:space="preserve">nieulepszonych </w:t>
      </w:r>
      <w:r w:rsidR="002738CD" w:rsidRPr="002738CD">
        <w:rPr>
          <w:rFonts w:ascii="Times New Roman" w:eastAsia="Arial Unicode MS" w:hAnsi="Times New Roman"/>
          <w:b w:val="0"/>
          <w:sz w:val="20"/>
          <w:szCs w:val="20"/>
        </w:rPr>
        <w:t xml:space="preserve">dla zadania </w:t>
      </w:r>
      <w:r w:rsidR="002738CD" w:rsidRPr="002738CD">
        <w:rPr>
          <w:rFonts w:ascii="Times New Roman" w:hAnsi="Times New Roman"/>
          <w:b w:val="0"/>
          <w:sz w:val="20"/>
          <w:szCs w:val="20"/>
        </w:rPr>
        <w:t xml:space="preserve"> </w:t>
      </w:r>
      <w:r w:rsidR="00FD63F6">
        <w:rPr>
          <w:sz w:val="20"/>
          <w:szCs w:val="20"/>
        </w:rPr>
        <w:t>„Remont ul. Gajowej (droga gminna) w miejscowości Kaniów, gmina Zagnańsk."</w:t>
      </w:r>
    </w:p>
    <w:p w:rsidR="00B02595" w:rsidRDefault="00B02595" w:rsidP="000F5CCA">
      <w:pPr>
        <w:overflowPunct w:val="0"/>
        <w:autoSpaceDE w:val="0"/>
        <w:autoSpaceDN w:val="0"/>
        <w:adjustRightInd w:val="0"/>
        <w:jc w:val="both"/>
        <w:rPr>
          <w:sz w:val="20"/>
          <w:szCs w:val="20"/>
        </w:rPr>
      </w:pPr>
      <w:r>
        <w:rPr>
          <w:sz w:val="20"/>
          <w:szCs w:val="20"/>
        </w:rPr>
        <w:t>.</w:t>
      </w:r>
      <w:r>
        <w:rPr>
          <w:sz w:val="20"/>
          <w:szCs w:val="20"/>
        </w:rPr>
        <w:tab/>
      </w:r>
      <w:r w:rsidRPr="00A975F2">
        <w:rPr>
          <w:rFonts w:ascii="Times New Roman" w:hAnsi="Times New Roman" w:cs="Times New Roman"/>
          <w:sz w:val="20"/>
          <w:szCs w:val="20"/>
          <w:lang w:eastAsia="pl-PL"/>
        </w:rPr>
        <w:t xml:space="preserve"> </w:t>
      </w:r>
      <w:bookmarkStart w:id="6" w:name="_Toc405615032"/>
      <w:bookmarkStart w:id="7" w:name="_Toc407161180"/>
    </w:p>
    <w:p w:rsidR="00B02595" w:rsidRPr="005271B6" w:rsidRDefault="00B02595" w:rsidP="00571631">
      <w:pPr>
        <w:overflowPunct w:val="0"/>
        <w:autoSpaceDE w:val="0"/>
        <w:autoSpaceDN w:val="0"/>
        <w:adjustRightInd w:val="0"/>
        <w:jc w:val="both"/>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1.2. Zakres stosowania OST</w:t>
      </w:r>
      <w:bookmarkEnd w:id="6"/>
      <w:bookmarkEnd w:id="7"/>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Zaleca się wykorzystanie OST przy zlecaniu robót na drogach miejskich i gminnych.</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bookmarkStart w:id="8" w:name="_Toc405615033"/>
      <w:bookmarkStart w:id="9" w:name="_Toc407161181"/>
      <w:r w:rsidRPr="005271B6">
        <w:rPr>
          <w:rFonts w:ascii="Times New Roman" w:hAnsi="Times New Roman" w:cs="Times New Roman"/>
          <w:b/>
          <w:bCs/>
          <w:sz w:val="20"/>
          <w:szCs w:val="20"/>
          <w:lang w:eastAsia="pl-PL"/>
        </w:rPr>
        <w:t>1.3. Zakres robót objętych OST</w:t>
      </w:r>
      <w:bookmarkEnd w:id="8"/>
      <w:bookmarkEnd w:id="9"/>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Ustalenia zawarte w niniejszej specyfikacji dotyczą zasad prowadzenia robót związanych z wykonaniem nawierzchni twardych nieulepszonych, które obejmują OST: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1. D-05.02.01 Nawierzchnia tłuczniowa,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2. D-05.02.02 Nawierzchnia brukowcowa.</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1.4. Określenia podstawowe</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1.4.1. </w:t>
      </w:r>
      <w:r w:rsidRPr="005271B6">
        <w:rPr>
          <w:rFonts w:ascii="Times New Roman" w:hAnsi="Times New Roman" w:cs="Times New Roman"/>
          <w:sz w:val="20"/>
          <w:szCs w:val="20"/>
          <w:lang w:eastAsia="pl-PL"/>
        </w:rPr>
        <w:t>Nawierzchnia twarda nieulepszona - nawierzchnia nieprzystosowana do szybkiego ruchu samochodowego ze względu na pylenie, duże nierówności, ograniczony komfort jazdy - wibracje i hałas.</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1.4.2. </w:t>
      </w:r>
      <w:r w:rsidRPr="005271B6">
        <w:rPr>
          <w:rFonts w:ascii="Times New Roman" w:hAnsi="Times New Roman" w:cs="Times New Roman"/>
          <w:sz w:val="20"/>
          <w:szCs w:val="20"/>
          <w:lang w:eastAsia="pl-PL"/>
        </w:rPr>
        <w:t>Nawierzchnia tłuczniowa - nawierzchnia, której warstwa ścieralna wykonana jest z tłucznia bez użycia lepiszcza czy spoiwa.</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1.4.3. </w:t>
      </w:r>
      <w:r w:rsidRPr="005271B6">
        <w:rPr>
          <w:rFonts w:ascii="Times New Roman" w:hAnsi="Times New Roman" w:cs="Times New Roman"/>
          <w:sz w:val="20"/>
          <w:szCs w:val="20"/>
          <w:lang w:eastAsia="pl-PL"/>
        </w:rPr>
        <w:t>Nawierzchnia brukowcowa - nawierzchnia, której warstwa ścieralna wykonana jest z brukowca.</w:t>
      </w:r>
    </w:p>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1.4.4.</w:t>
      </w:r>
      <w:r w:rsidRPr="005271B6">
        <w:rPr>
          <w:rFonts w:ascii="Times New Roman" w:hAnsi="Times New Roman" w:cs="Times New Roman"/>
          <w:sz w:val="20"/>
          <w:szCs w:val="20"/>
          <w:lang w:eastAsia="pl-PL"/>
        </w:rPr>
        <w:t xml:space="preserve"> Pozostałe określenia podstawowe są zgodne z obowiązującymi, odpowiednimi polskimi normami i z definicjami podanymi w OST D-M-00.00.00 „Wymagania ogólne” pkt 1.4.</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1.5. Ogólne wymagania dotyczące robót</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robót podano w OST D-M-00.00.00 „Wymagania ogólne” pkt 1.5.</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10" w:name="_2__materiały"/>
      <w:bookmarkStart w:id="11" w:name="_Toc420895340"/>
      <w:bookmarkEnd w:id="10"/>
      <w:r w:rsidRPr="005271B6">
        <w:rPr>
          <w:rFonts w:ascii="Times New Roman" w:hAnsi="Times New Roman" w:cs="Times New Roman"/>
          <w:b/>
          <w:bCs/>
          <w:caps/>
          <w:kern w:val="28"/>
          <w:sz w:val="20"/>
          <w:szCs w:val="20"/>
          <w:lang w:eastAsia="pl-PL"/>
        </w:rPr>
        <w:t>2. materiały</w:t>
      </w:r>
      <w:bookmarkEnd w:id="11"/>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2.1. Ogólne wymagania dotyczące materiałów</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materiałów, ich pozyskiwania i składowania, podano w OST D-M-00.00.00 „Wymagania ogólne” pkt 2.</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2.2. Piasek</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Piasek stosowany przy wykonywaniu nawierzchni twardych nieulepszonych powinien spełniać wymagania PN-B-11113 [16] dla gat. 1 lub 2.</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2.3. Woda</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Woda użyta przy wykonywaniu zagęszczenia i zamulania nawierzchni może być studzienna lub z wodociągów, bez specjalnych wymagań.</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12" w:name="_3__sprzęt"/>
      <w:bookmarkStart w:id="13" w:name="_Toc420895341"/>
      <w:bookmarkEnd w:id="12"/>
      <w:r w:rsidRPr="005271B6">
        <w:rPr>
          <w:rFonts w:ascii="Times New Roman" w:hAnsi="Times New Roman" w:cs="Times New Roman"/>
          <w:b/>
          <w:bCs/>
          <w:caps/>
          <w:kern w:val="28"/>
          <w:sz w:val="20"/>
          <w:szCs w:val="20"/>
          <w:lang w:eastAsia="pl-PL"/>
        </w:rPr>
        <w:t>3. sprzęt</w:t>
      </w:r>
      <w:bookmarkEnd w:id="13"/>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sprzętu podano w OST D-M-00.00.00 „Wymagania ogólne” pkt 3.</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Do wykonania nawierzchni twardych nieulepszonych należy stosować sprzęt określony w OST D-05.02.01 „Nawierzchnia tłuczniowa” lub OST D-05.02.02 „Nawierzchnia brukowcowa”.</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14" w:name="_4__transport"/>
      <w:bookmarkStart w:id="15" w:name="_Toc420895342"/>
      <w:bookmarkEnd w:id="14"/>
      <w:r w:rsidRPr="005271B6">
        <w:rPr>
          <w:rFonts w:ascii="Times New Roman" w:hAnsi="Times New Roman" w:cs="Times New Roman"/>
          <w:b/>
          <w:bCs/>
          <w:caps/>
          <w:kern w:val="28"/>
          <w:sz w:val="20"/>
          <w:szCs w:val="20"/>
          <w:lang w:eastAsia="pl-PL"/>
        </w:rPr>
        <w:t>4. transport</w:t>
      </w:r>
      <w:bookmarkEnd w:id="15"/>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4.1. Ogólne wymagania dotyczące transportu</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transportu podano w OST D-M-00.00.00 „Wymagania ogólne” pkt 4.</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lastRenderedPageBreak/>
        <w:t>4.2. Transport materiałów kamiennych</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Materiały kamienne można przewozić dowolnymi środkami transportu, w warunkach zabezpieczających je przed zanieczyszczeniem i zmieszaniem z innymi materiałami, nadmiernym wysuszeniem i zawilgoceniem. Podczas transportu kruszywa powinny być zabezpieczone przed wysypaniem, a kruszywa drobne - przed rozpyleniem.</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Sposób załadunku i rozładunku środków transportowych należy dostosować do wytrzymałości kamienia, aby nie dopuścić do obtłukiwania krawędzi.</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16" w:name="_5__wykonanie_robót"/>
      <w:bookmarkStart w:id="17" w:name="_Toc420895343"/>
      <w:bookmarkEnd w:id="16"/>
      <w:r w:rsidRPr="005271B6">
        <w:rPr>
          <w:rFonts w:ascii="Times New Roman" w:hAnsi="Times New Roman" w:cs="Times New Roman"/>
          <w:b/>
          <w:bCs/>
          <w:caps/>
          <w:kern w:val="28"/>
          <w:sz w:val="20"/>
          <w:szCs w:val="20"/>
          <w:lang w:eastAsia="pl-PL"/>
        </w:rPr>
        <w:t>5. wykonanie robót</w:t>
      </w:r>
      <w:bookmarkEnd w:id="17"/>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5.1. Ogólne zasady wykonania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wykonania robót podano w OST D-M-00.00.00 „Wymagania ogólne” pkt 5.</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5.2. Przygotowanie podłoża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Podłoże gruntowe pod nawierzchnię powinno spełniać wymagania określone w OST D-04.01.01 „Koryto wraz z profilowaniem i zagęszczeniem podłoża”.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Jeżeli podłoże ulepszone pod nawierzchnię, wykonane z materiałów związanych spoiwami lub lepiszczami, wykazuje jakiekolwiek wady, to powinny być one usunięte według zasad akceptowanych przez Inżyniera.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Nawierzchnia powinna być wytyczona w sposób umożliwiający jej wykonanie zgodnie z dokumentacją projektową lub według zaleceń Inżyniera, z tolerancjami określonymi w niniejszych specyfikacjach.</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Paliki lub szpilki powinny być ustawione w osi drogi i w rzędach równoległych do osi drogi, lub w inny sposób zaakceptowany przez Inżyniera.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Odstępy między palikami lub szpilkami nie powinny być większe niż co 10 m, co umożliwi prawidłowe naciągnięcie sznurków lub linek.</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5.3. Wykonanie nawierzchni</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Wymagania dotyczące wykonania nawierzchni podano w OST D-05.02.01 „Nawierzchnia tłuczniowa” lub D-05.02.02 „Nawierzchnia brukowcowa”.</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18" w:name="_6__kontrola_jakości"/>
      <w:bookmarkStart w:id="19" w:name="_Toc420895344"/>
      <w:bookmarkEnd w:id="18"/>
      <w:r w:rsidRPr="005271B6">
        <w:rPr>
          <w:rFonts w:ascii="Times New Roman" w:hAnsi="Times New Roman" w:cs="Times New Roman"/>
          <w:b/>
          <w:bCs/>
          <w:caps/>
          <w:kern w:val="28"/>
          <w:sz w:val="20"/>
          <w:szCs w:val="20"/>
          <w:lang w:eastAsia="pl-PL"/>
        </w:rPr>
        <w:t>6. kontrola jakości robót</w:t>
      </w:r>
      <w:bookmarkEnd w:id="19"/>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6.1. Ogólne zasady kontroli jakości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kontroli jakości robót podano w OST D-M-00.00.00 „Wymagania ogólne” pkt 6 oraz w OST D-05.02.01 „Nawierzchnia tłuczniowa” lub D-05.02.02 „Nawierzchnia brukowcowa”.</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6.2. Wymagania dotyczące cech geometrycznych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6.2.1. </w:t>
      </w:r>
      <w:r w:rsidRPr="005271B6">
        <w:rPr>
          <w:rFonts w:ascii="Times New Roman" w:hAnsi="Times New Roman" w:cs="Times New Roman"/>
          <w:sz w:val="20"/>
          <w:szCs w:val="20"/>
          <w:lang w:eastAsia="pl-PL"/>
        </w:rPr>
        <w:t>Częstotliwość oraz zakres badań i pomiarów</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Częstotliwość oraz zakres badań i pomiarów dotyczących cech geometrycznych nawierzchni twardych nieulepszonych podano w tablicy 1.</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6.2.2. </w:t>
      </w:r>
      <w:r w:rsidRPr="005271B6">
        <w:rPr>
          <w:rFonts w:ascii="Times New Roman" w:hAnsi="Times New Roman" w:cs="Times New Roman"/>
          <w:sz w:val="20"/>
          <w:szCs w:val="20"/>
          <w:lang w:eastAsia="pl-PL"/>
        </w:rPr>
        <w:t>Równość nawierzchni</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Nierówności podłużne nawierzchni należy mierzyć 4-metrową łatą, zgodnie z normą BN-68/8931-04 [24].</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Nierówności poprzeczne nawierzchni należy mierzyć 4-metrową łatą, zgodnie z normą BN-68/8931-04 [24].</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Nierówności nawierzchni nie powinny przekraczać 15 mm dla nawierzchni tluczniowej i 20 mm dla nawierzchni brukowcowej.</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6.2.3. </w:t>
      </w:r>
      <w:r w:rsidRPr="005271B6">
        <w:rPr>
          <w:rFonts w:ascii="Times New Roman" w:hAnsi="Times New Roman" w:cs="Times New Roman"/>
          <w:sz w:val="20"/>
          <w:szCs w:val="20"/>
          <w:lang w:eastAsia="pl-PL"/>
        </w:rPr>
        <w:t>Spadki poprzeczne nawierzchni</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 xml:space="preserve">Spadki poprzeczne nawierzchni na prostych i łukach powinny być zgodne z dokumentacją projektową, z tolerancją </w:t>
      </w:r>
      <w:r w:rsidRPr="005271B6">
        <w:rPr>
          <w:rFonts w:ascii="Times New Roman" w:hAnsi="Times New Roman" w:cs="Times New Roman"/>
          <w:sz w:val="20"/>
          <w:szCs w:val="20"/>
          <w:lang w:eastAsia="pl-PL"/>
        </w:rPr>
        <w:sym w:font="Symbol" w:char="F0B1"/>
      </w:r>
      <w:r w:rsidRPr="005271B6">
        <w:rPr>
          <w:rFonts w:ascii="Times New Roman" w:hAnsi="Times New Roman" w:cs="Times New Roman"/>
          <w:sz w:val="20"/>
          <w:szCs w:val="20"/>
          <w:lang w:eastAsia="pl-PL"/>
        </w:rPr>
        <w:t xml:space="preserve"> 0,5%.</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1. Częstotliwość oraz zakres badań i pomiarów wykonanej nawierzchni</w:t>
      </w:r>
    </w:p>
    <w:tbl>
      <w:tblPr>
        <w:tblW w:w="0" w:type="auto"/>
        <w:tblInd w:w="-68" w:type="dxa"/>
        <w:tblCellMar>
          <w:left w:w="70" w:type="dxa"/>
          <w:right w:w="70" w:type="dxa"/>
        </w:tblCellMar>
        <w:tblLook w:val="00A0"/>
      </w:tblPr>
      <w:tblGrid>
        <w:gridCol w:w="496"/>
        <w:gridCol w:w="2976"/>
        <w:gridCol w:w="4039"/>
      </w:tblGrid>
      <w:tr w:rsidR="00B02595" w:rsidRPr="00974C6C">
        <w:tc>
          <w:tcPr>
            <w:tcW w:w="496" w:type="dxa"/>
            <w:tcBorders>
              <w:top w:val="single" w:sz="6" w:space="0" w:color="auto"/>
              <w:left w:val="single" w:sz="6" w:space="0" w:color="auto"/>
              <w:bottom w:val="double" w:sz="6" w:space="0" w:color="auto"/>
              <w:right w:val="nil"/>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Lp.</w:t>
            </w:r>
          </w:p>
        </w:tc>
        <w:tc>
          <w:tcPr>
            <w:tcW w:w="2976" w:type="dxa"/>
            <w:tcBorders>
              <w:top w:val="single" w:sz="6" w:space="0" w:color="auto"/>
              <w:left w:val="single" w:sz="6" w:space="0" w:color="auto"/>
              <w:bottom w:val="double" w:sz="6" w:space="0" w:color="auto"/>
              <w:right w:val="nil"/>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Wyszczególnienie badań i pomiarów</w:t>
            </w:r>
          </w:p>
        </w:tc>
        <w:tc>
          <w:tcPr>
            <w:tcW w:w="4038"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Minimalna częstotliwość</w:t>
            </w:r>
          </w:p>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badań i pomiarów</w:t>
            </w:r>
          </w:p>
        </w:tc>
      </w:tr>
      <w:tr w:rsidR="00B02595" w:rsidRPr="00974C6C">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w:t>
            </w:r>
          </w:p>
        </w:tc>
        <w:tc>
          <w:tcPr>
            <w:tcW w:w="297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Szerokość nawierzchni</w:t>
            </w:r>
          </w:p>
        </w:tc>
        <w:tc>
          <w:tcPr>
            <w:tcW w:w="403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 razy na 1 km</w:t>
            </w:r>
          </w:p>
        </w:tc>
      </w:tr>
      <w:tr w:rsidR="00B02595" w:rsidRPr="00974C6C">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2</w:t>
            </w:r>
          </w:p>
        </w:tc>
        <w:tc>
          <w:tcPr>
            <w:tcW w:w="297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Równość podłużna</w:t>
            </w:r>
          </w:p>
        </w:tc>
        <w:tc>
          <w:tcPr>
            <w:tcW w:w="403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co 20 m na każdym pasie ruchu</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w:t>
            </w:r>
          </w:p>
        </w:tc>
        <w:tc>
          <w:tcPr>
            <w:tcW w:w="297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Równość poprzeczna</w:t>
            </w:r>
          </w:p>
        </w:tc>
        <w:tc>
          <w:tcPr>
            <w:tcW w:w="4038"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 razy na 1 km</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w:t>
            </w:r>
          </w:p>
        </w:tc>
        <w:tc>
          <w:tcPr>
            <w:tcW w:w="297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Spadki poprzeczne </w:t>
            </w:r>
            <w:r w:rsidRPr="005271B6">
              <w:rPr>
                <w:rFonts w:ascii="Times New Roman" w:hAnsi="Times New Roman" w:cs="Times New Roman"/>
                <w:sz w:val="20"/>
                <w:szCs w:val="20"/>
                <w:vertAlign w:val="superscript"/>
                <w:lang w:eastAsia="pl-PL"/>
              </w:rPr>
              <w:t>*)</w:t>
            </w:r>
          </w:p>
        </w:tc>
        <w:tc>
          <w:tcPr>
            <w:tcW w:w="4038"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 razy na 1 km</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2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w:t>
            </w:r>
          </w:p>
        </w:tc>
        <w:tc>
          <w:tcPr>
            <w:tcW w:w="297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Rzędne wysokościowe</w:t>
            </w:r>
          </w:p>
        </w:tc>
        <w:tc>
          <w:tcPr>
            <w:tcW w:w="4038"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co 100 m i w charakterystycznych punktach niwelety</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6</w:t>
            </w:r>
          </w:p>
        </w:tc>
        <w:tc>
          <w:tcPr>
            <w:tcW w:w="297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Ukształtowanie osi w planie </w:t>
            </w:r>
            <w:r w:rsidRPr="005271B6">
              <w:rPr>
                <w:rFonts w:ascii="Times New Roman" w:hAnsi="Times New Roman" w:cs="Times New Roman"/>
                <w:sz w:val="20"/>
                <w:szCs w:val="20"/>
                <w:vertAlign w:val="superscript"/>
                <w:lang w:eastAsia="pl-PL"/>
              </w:rPr>
              <w:t>*)</w:t>
            </w:r>
          </w:p>
        </w:tc>
        <w:tc>
          <w:tcPr>
            <w:tcW w:w="4038"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co 100 m</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7</w:t>
            </w:r>
          </w:p>
        </w:tc>
        <w:tc>
          <w:tcPr>
            <w:tcW w:w="297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Grubość nawierzchni</w:t>
            </w:r>
          </w:p>
        </w:tc>
        <w:tc>
          <w:tcPr>
            <w:tcW w:w="4038"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Podczas budowy: w trzech punktach na każdej działce roboczej, lecz nie rzadziej niż raz na 400 m</w:t>
            </w:r>
            <w:r w:rsidRPr="005271B6">
              <w:rPr>
                <w:rFonts w:ascii="Times New Roman" w:hAnsi="Times New Roman" w:cs="Times New Roman"/>
                <w:sz w:val="20"/>
                <w:szCs w:val="20"/>
                <w:vertAlign w:val="superscript"/>
                <w:lang w:eastAsia="pl-PL"/>
              </w:rPr>
              <w:t>2</w:t>
            </w:r>
          </w:p>
          <w:p w:rsidR="00B02595" w:rsidRPr="005271B6" w:rsidRDefault="00B02595" w:rsidP="008D1227">
            <w:pPr>
              <w:overflowPunct w:val="0"/>
              <w:autoSpaceDE w:val="0"/>
              <w:autoSpaceDN w:val="0"/>
              <w:adjustRightInd w:val="0"/>
              <w:spacing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Przed odbiorem: w trzech punktach, lecz nie rzadziej niż raz na 2000 m</w:t>
            </w:r>
            <w:r w:rsidRPr="005271B6">
              <w:rPr>
                <w:rFonts w:ascii="Times New Roman" w:hAnsi="Times New Roman" w:cs="Times New Roman"/>
                <w:sz w:val="20"/>
                <w:szCs w:val="20"/>
                <w:vertAlign w:val="superscript"/>
                <w:lang w:eastAsia="pl-PL"/>
              </w:rPr>
              <w:t>2</w:t>
            </w:r>
          </w:p>
        </w:tc>
      </w:tr>
      <w:tr w:rsidR="00B02595" w:rsidRPr="00974C6C">
        <w:tc>
          <w:tcPr>
            <w:tcW w:w="7511" w:type="dxa"/>
            <w:gridSpan w:val="3"/>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Dodatkowe pomiary spadków poprzecznych i ukształtowania osi w planie należy wykonać w punktach głównych łuków poziomych: na początku krzywej przejściowej oraz na początku, w środku i na końcu każdego łuku poziomego</w:t>
            </w:r>
          </w:p>
        </w:tc>
      </w:tr>
    </w:tbl>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6.2.4. </w:t>
      </w:r>
      <w:r w:rsidRPr="005271B6">
        <w:rPr>
          <w:rFonts w:ascii="Times New Roman" w:hAnsi="Times New Roman" w:cs="Times New Roman"/>
          <w:sz w:val="20"/>
          <w:szCs w:val="20"/>
          <w:lang w:eastAsia="pl-PL"/>
        </w:rPr>
        <w:t>Rzędne wysokościowe</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Różnice pomiędzy rzędnymi wysokościowymi nawierzchni i rzędnymi projektowanymi nie powinny przekraczać +1 cm i -2 cm.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6.2.5. </w:t>
      </w:r>
      <w:r w:rsidRPr="005271B6">
        <w:rPr>
          <w:rFonts w:ascii="Times New Roman" w:hAnsi="Times New Roman" w:cs="Times New Roman"/>
          <w:sz w:val="20"/>
          <w:szCs w:val="20"/>
          <w:lang w:eastAsia="pl-PL"/>
        </w:rPr>
        <w:t>Ukształtowanie osi nawierzchni</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 xml:space="preserve">Oś nawierzchni w planie nie może być przesunięta w stosunku do osi projektowanej o więcej niż </w:t>
      </w:r>
      <w:r w:rsidRPr="005271B6">
        <w:rPr>
          <w:rFonts w:ascii="Times New Roman" w:hAnsi="Times New Roman" w:cs="Times New Roman"/>
          <w:sz w:val="20"/>
          <w:szCs w:val="20"/>
          <w:lang w:eastAsia="pl-PL"/>
        </w:rPr>
        <w:sym w:font="Symbol" w:char="F0B1"/>
      </w:r>
      <w:r w:rsidRPr="005271B6">
        <w:rPr>
          <w:rFonts w:ascii="Times New Roman" w:hAnsi="Times New Roman" w:cs="Times New Roman"/>
          <w:sz w:val="20"/>
          <w:szCs w:val="20"/>
          <w:lang w:eastAsia="pl-PL"/>
        </w:rPr>
        <w:t xml:space="preserve"> 5 cm.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6.2.6. </w:t>
      </w:r>
      <w:r w:rsidRPr="005271B6">
        <w:rPr>
          <w:rFonts w:ascii="Times New Roman" w:hAnsi="Times New Roman" w:cs="Times New Roman"/>
          <w:sz w:val="20"/>
          <w:szCs w:val="20"/>
          <w:lang w:eastAsia="pl-PL"/>
        </w:rPr>
        <w:t>Szerokość nawierzchni</w:t>
      </w:r>
    </w:p>
    <w:p w:rsidR="00B02595" w:rsidRPr="005271B6" w:rsidRDefault="00B02595" w:rsidP="008D1227">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Szerokość nawierzchni nie może różnić się od szerokości projektowanej o więcej niż +10 cm i -5 cm.</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20" w:name="_7__obmiar_robót"/>
      <w:bookmarkStart w:id="21" w:name="_Toc420895345"/>
      <w:bookmarkEnd w:id="20"/>
      <w:r w:rsidRPr="005271B6">
        <w:rPr>
          <w:rFonts w:ascii="Times New Roman" w:hAnsi="Times New Roman" w:cs="Times New Roman"/>
          <w:b/>
          <w:bCs/>
          <w:caps/>
          <w:kern w:val="28"/>
          <w:sz w:val="20"/>
          <w:szCs w:val="20"/>
          <w:lang w:eastAsia="pl-PL"/>
        </w:rPr>
        <w:t>7. obmiar robót</w:t>
      </w:r>
      <w:bookmarkEnd w:id="21"/>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7.1. Ogólne zasady obmiaru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obmiaru robót podano w OST D-M-00.00.00 „Wymagania ogólne” pkt 7.</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7.2. Jednostka obmiarowa</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Jednostką obmiarową jest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(metr kwadratowy).</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22" w:name="_8__odbiór_robót"/>
      <w:bookmarkStart w:id="23" w:name="_Toc420895346"/>
      <w:bookmarkEnd w:id="22"/>
      <w:r w:rsidRPr="005271B6">
        <w:rPr>
          <w:rFonts w:ascii="Times New Roman" w:hAnsi="Times New Roman" w:cs="Times New Roman"/>
          <w:b/>
          <w:bCs/>
          <w:caps/>
          <w:kern w:val="28"/>
          <w:sz w:val="20"/>
          <w:szCs w:val="20"/>
          <w:lang w:eastAsia="pl-PL"/>
        </w:rPr>
        <w:t>8. odbiór robót</w:t>
      </w:r>
      <w:bookmarkEnd w:id="23"/>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odbioru robót podano w OST D-M-00.00.00 „Wymagania ogólne” pkt 8.</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24" w:name="_9__podstawa_płatności"/>
      <w:bookmarkStart w:id="25" w:name="_Toc420895347"/>
      <w:bookmarkEnd w:id="24"/>
      <w:r w:rsidRPr="005271B6">
        <w:rPr>
          <w:rFonts w:ascii="Times New Roman" w:hAnsi="Times New Roman" w:cs="Times New Roman"/>
          <w:b/>
          <w:bCs/>
          <w:caps/>
          <w:kern w:val="28"/>
          <w:sz w:val="20"/>
          <w:szCs w:val="20"/>
          <w:lang w:eastAsia="pl-PL"/>
        </w:rPr>
        <w:t>9. podstawa płatności</w:t>
      </w:r>
      <w:bookmarkEnd w:id="25"/>
    </w:p>
    <w:p w:rsidR="00B02595" w:rsidRPr="005271B6" w:rsidRDefault="00B02595" w:rsidP="008D1227">
      <w:pPr>
        <w:keepNext/>
        <w:overflowPunct w:val="0"/>
        <w:autoSpaceDE w:val="0"/>
        <w:autoSpaceDN w:val="0"/>
        <w:adjustRightInd w:val="0"/>
        <w:spacing w:before="6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9.1. Ogólne ustalenia dotyczące podstawy płatności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ustalenia dotyczące podstawy płatności podano w OST D-M-00.00.00 „Wymagania ogólne” pkt 9.</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9.2. Cena jednostki obmiarowej</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Zakres czynności objętych ceną jednostkową 1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nawierzchni podano w OST D-05.02.01 „Nawierzchnia tłuczniowa” i OST D-05.02.02 „Nawierzchnia brukowcowa” pkt 9.</w:t>
      </w:r>
    </w:p>
    <w:p w:rsidR="00B02595" w:rsidRPr="005271B6" w:rsidRDefault="00B02595" w:rsidP="008D1227">
      <w:pPr>
        <w:keepNext/>
        <w:keepLines/>
        <w:suppressAutoHyphens/>
        <w:overflowPunct w:val="0"/>
        <w:autoSpaceDE w:val="0"/>
        <w:autoSpaceDN w:val="0"/>
        <w:adjustRightInd w:val="0"/>
        <w:spacing w:before="60" w:after="60" w:line="240" w:lineRule="auto"/>
        <w:jc w:val="both"/>
        <w:outlineLvl w:val="0"/>
        <w:rPr>
          <w:rFonts w:ascii="Times New Roman" w:hAnsi="Times New Roman" w:cs="Times New Roman"/>
          <w:b/>
          <w:bCs/>
          <w:caps/>
          <w:kern w:val="28"/>
          <w:sz w:val="20"/>
          <w:szCs w:val="20"/>
          <w:lang w:eastAsia="pl-PL"/>
        </w:rPr>
      </w:pPr>
      <w:bookmarkStart w:id="26" w:name="_10__przepisy_związane"/>
      <w:bookmarkStart w:id="27" w:name="_Toc420895348"/>
      <w:bookmarkEnd w:id="26"/>
      <w:r w:rsidRPr="005271B6">
        <w:rPr>
          <w:rFonts w:ascii="Times New Roman" w:hAnsi="Times New Roman" w:cs="Times New Roman"/>
          <w:b/>
          <w:bCs/>
          <w:caps/>
          <w:kern w:val="28"/>
          <w:sz w:val="20"/>
          <w:szCs w:val="20"/>
          <w:lang w:eastAsia="pl-PL"/>
        </w:rPr>
        <w:t>10. przepisy związane</w:t>
      </w:r>
      <w:bookmarkEnd w:id="27"/>
    </w:p>
    <w:p w:rsidR="00B02595" w:rsidRPr="005271B6" w:rsidRDefault="00B02595" w:rsidP="008D1227">
      <w:pPr>
        <w:keepNext/>
        <w:overflowPunct w:val="0"/>
        <w:autoSpaceDE w:val="0"/>
        <w:autoSpaceDN w:val="0"/>
        <w:adjustRightInd w:val="0"/>
        <w:spacing w:after="6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10.1. Normy</w:t>
      </w:r>
    </w:p>
    <w:tbl>
      <w:tblPr>
        <w:tblW w:w="0" w:type="auto"/>
        <w:tblInd w:w="-68" w:type="dxa"/>
        <w:tblCellMar>
          <w:left w:w="70" w:type="dxa"/>
          <w:right w:w="70" w:type="dxa"/>
        </w:tblCellMar>
        <w:tblLook w:val="00A0"/>
      </w:tblPr>
      <w:tblGrid>
        <w:gridCol w:w="496"/>
        <w:gridCol w:w="1984"/>
        <w:gridCol w:w="6159"/>
      </w:tblGrid>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1.</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PN-B-01100</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Kruszywa skalne. Podział, nazwy i określenia</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2.</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PN-B-04101</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Materiały kamienne. Oznaczenie nasiąkliwości wodą</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3.</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PN-B-04110</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Materiały kamienne. Oznaczanie wytrzymałości na ściskanie</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4.</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PN-B-04111</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Materiały kamienne. Oznaczanie ścieralności na tarczy Boehmego</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5.</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PN-B-04115</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Materiały kamienne. Oznaczanie wytrzymałości kamienia na uderzenie </w:t>
            </w:r>
            <w:r w:rsidRPr="005271B6">
              <w:rPr>
                <w:rFonts w:ascii="Times New Roman" w:hAnsi="Times New Roman" w:cs="Times New Roman"/>
                <w:sz w:val="20"/>
                <w:szCs w:val="20"/>
                <w:lang w:eastAsia="pl-PL"/>
              </w:rPr>
              <w:lastRenderedPageBreak/>
              <w:t>(zwięzłość)</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 xml:space="preserve">  6.</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PN-B-06714-12</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zawartości zanieczyszczeń obcych</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7.</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PN-B-06714-15</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składu ziarnowego</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8.</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PN-B-06714-16</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kształtu ziarn</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9.</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PN-B-06714-18</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nasiąkliwości</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PN-B-06714-19</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mrozoodporności metodą bezpośrednią</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11.</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PN-B-06714-20</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mrozoodporności metodą krystalizacji</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12.</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PN-B-06714-26</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zawartości zanieczyszczeń organicznych</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13.</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PN-B-06714-42</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Kruszywa mineralne. Badania. Oznaczanie ścieralności w bębnie Los Angeles</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14.</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PN-B-11104</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Materiały kamienne. Brukowiec</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15.</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PN-B-11112</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Kruszywo mineralne. Kruszywo łamane do nawierzchni drogowych</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16.</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PN-B-11113</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Kruszywo mineralne. Kruszywo naturalne do nawierzchni drogowych. Piasek</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17.</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PN-B-19701</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Cement. Cement powszechnego użytku. Skład, wymagania             i ocena zgodności</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18.</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PN-B-32250</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Materiały budowlane. Woda do betonów i zapraw</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19.</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PN-S-06101</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Drogi samochodowe. Nawierzchnia z brukowca. Warunki techniczne</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20.</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PN-S-96023</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Konstrukcje drogowe. Podbudowa i nawierzchnia z tłucznia kamiennego</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21.</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BN-88/6731-08</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Cement. Transport i przechowywanie</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22.</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BN-64/8931-01</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Oznaczanie wskaźnika piaskowego</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23.</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BN-64/8931-02</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Oznaczanie modułu odkształcenia nawierzchni podatnych i podłoża przez obciążenie płytą</w:t>
            </w:r>
          </w:p>
        </w:tc>
      </w:tr>
      <w:tr w:rsidR="00B02595" w:rsidRPr="00974C6C">
        <w:tc>
          <w:tcPr>
            <w:tcW w:w="496" w:type="dxa"/>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24.</w:t>
            </w:r>
          </w:p>
        </w:tc>
        <w:tc>
          <w:tcPr>
            <w:tcW w:w="1984"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BN-68/8931-04</w:t>
            </w:r>
          </w:p>
        </w:tc>
        <w:tc>
          <w:tcPr>
            <w:tcW w:w="6159" w:type="dxa"/>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Drogi samochodowe. Pomiar równości nawierzchni planografem i łatą.</w:t>
            </w:r>
          </w:p>
        </w:tc>
      </w:tr>
    </w:tbl>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10.2. Inne dokumenty</w:t>
      </w:r>
    </w:p>
    <w:p w:rsidR="00B02595"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Nie występują.</w:t>
      </w:r>
    </w:p>
    <w:p w:rsidR="00B02595"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p>
    <w:p w:rsidR="00B02595" w:rsidRDefault="00B02595" w:rsidP="00ED0429">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bookmarkStart w:id="28" w:name="etykieta2"/>
      <w:bookmarkEnd w:id="28"/>
    </w:p>
    <w:p w:rsidR="00B02595" w:rsidRPr="00ED0429" w:rsidRDefault="00B02595" w:rsidP="00ED0429">
      <w:pPr>
        <w:pStyle w:val="Zwykytekst"/>
        <w:rPr>
          <w:rFonts w:ascii="Times New Roman" w:hAnsi="Times New Roman" w:cs="Times New Roman"/>
        </w:rPr>
      </w:pPr>
      <w:r w:rsidRPr="00ED0429">
        <w:rPr>
          <w:rFonts w:ascii="Times New Roman" w:hAnsi="Times New Roman" w:cs="Times New Roman"/>
        </w:rPr>
        <w:t>Uwaga:</w:t>
      </w:r>
    </w:p>
    <w:p w:rsidR="00B02595" w:rsidRPr="00ED0429" w:rsidRDefault="00B02595" w:rsidP="00ED0429">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ED0429">
        <w:rPr>
          <w:rFonts w:ascii="Times New Roman" w:hAnsi="Times New Roman" w:cs="Times New Roman"/>
          <w:sz w:val="20"/>
          <w:szCs w:val="20"/>
        </w:rPr>
        <w:t>Wykonawca robót zobowiązany jest do przestrzegania aktualnie obowiązujących norm.</w:t>
      </w:r>
    </w:p>
    <w:p w:rsidR="00B02595" w:rsidRDefault="00B02595" w:rsidP="00ED0429">
      <w:pPr>
        <w:overflowPunct w:val="0"/>
        <w:autoSpaceDE w:val="0"/>
        <w:autoSpaceDN w:val="0"/>
        <w:adjustRightInd w:val="0"/>
        <w:spacing w:after="0" w:line="240" w:lineRule="auto"/>
        <w:jc w:val="both"/>
        <w:rPr>
          <w:rFonts w:ascii="Times New Roman" w:hAnsi="Times New Roman" w:cs="Times New Roman"/>
          <w:sz w:val="20"/>
          <w:szCs w:val="20"/>
          <w:lang w:eastAsia="pl-PL"/>
        </w:rPr>
      </w:pPr>
    </w:p>
    <w:p w:rsidR="00B02595" w:rsidRPr="005271B6" w:rsidRDefault="00B02595" w:rsidP="00ED0429">
      <w:pPr>
        <w:overflowPunct w:val="0"/>
        <w:autoSpaceDE w:val="0"/>
        <w:autoSpaceDN w:val="0"/>
        <w:adjustRightInd w:val="0"/>
        <w:spacing w:after="0" w:line="240" w:lineRule="auto"/>
        <w:jc w:val="both"/>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D 05.02.01</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NAWIERZCHNIA  TŁUCZNIOWA</w:t>
      </w: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p>
    <w:p w:rsidR="00B02595" w:rsidRPr="005271B6" w:rsidRDefault="00B02595" w:rsidP="00ED0429">
      <w:pPr>
        <w:overflowPunct w:val="0"/>
        <w:autoSpaceDE w:val="0"/>
        <w:autoSpaceDN w:val="0"/>
        <w:adjustRightInd w:val="0"/>
        <w:spacing w:after="0" w:line="240" w:lineRule="auto"/>
        <w:jc w:val="center"/>
        <w:rPr>
          <w:rFonts w:ascii="Times New Roman" w:hAnsi="Times New Roman" w:cs="Times New Roman"/>
          <w:b/>
          <w:bCs/>
          <w:sz w:val="28"/>
          <w:szCs w:val="28"/>
          <w:lang w:eastAsia="pl-PL"/>
        </w:rPr>
      </w:pPr>
      <w:r w:rsidRPr="005271B6">
        <w:rPr>
          <w:rFonts w:ascii="Times New Roman" w:hAnsi="Times New Roman" w:cs="Times New Roman"/>
          <w:b/>
          <w:bCs/>
          <w:sz w:val="28"/>
          <w:szCs w:val="28"/>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8"/>
          <w:szCs w:val="28"/>
          <w:lang w:eastAsia="pl-PL"/>
        </w:rPr>
      </w:pPr>
      <w:r w:rsidRPr="005271B6">
        <w:rPr>
          <w:rFonts w:ascii="Times New Roman" w:hAnsi="Times New Roman" w:cs="Times New Roman"/>
          <w:sz w:val="28"/>
          <w:szCs w:val="28"/>
          <w:lang w:eastAsia="pl-PL"/>
        </w:rPr>
        <w:lastRenderedPageBreak/>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19"/>
          <w:szCs w:val="19"/>
          <w:lang w:eastAsia="pl-PL"/>
        </w:rPr>
      </w:pPr>
      <w:r w:rsidRPr="005271B6">
        <w:rPr>
          <w:rFonts w:ascii="Times New Roman" w:hAnsi="Times New Roman" w:cs="Times New Roman"/>
          <w:sz w:val="19"/>
          <w:szCs w:val="19"/>
          <w:lang w:eastAsia="pl-PL"/>
        </w:rPr>
        <w:t> </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29" w:name="_1__WSTĘP_1"/>
      <w:bookmarkEnd w:id="29"/>
      <w:r w:rsidRPr="005271B6">
        <w:rPr>
          <w:rFonts w:ascii="Times New Roman" w:hAnsi="Times New Roman" w:cs="Times New Roman"/>
          <w:b/>
          <w:bCs/>
          <w:caps/>
          <w:kern w:val="28"/>
          <w:sz w:val="20"/>
          <w:szCs w:val="20"/>
          <w:lang w:eastAsia="pl-PL"/>
        </w:rPr>
        <w:t>1. WSTĘP</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1.1. Przedmiot OST</w:t>
      </w:r>
    </w:p>
    <w:p w:rsidR="00B02595" w:rsidRPr="000F5CCA" w:rsidRDefault="00B02595" w:rsidP="007D2D5B">
      <w:pPr>
        <w:pStyle w:val="Tekstpodstawowy"/>
        <w:rPr>
          <w:sz w:val="20"/>
          <w:szCs w:val="20"/>
        </w:rPr>
      </w:pPr>
      <w:r w:rsidRPr="005271B6">
        <w:rPr>
          <w:sz w:val="20"/>
          <w:szCs w:val="20"/>
          <w:lang w:eastAsia="pl-PL"/>
        </w:rPr>
        <w:tab/>
      </w:r>
      <w:r w:rsidRPr="000F5CCA">
        <w:rPr>
          <w:b w:val="0"/>
          <w:bCs w:val="0"/>
          <w:sz w:val="20"/>
          <w:szCs w:val="20"/>
          <w:lang w:eastAsia="pl-PL"/>
        </w:rPr>
        <w:t xml:space="preserve">Przedmiotem niniejszej ogólnej specyfikacji technicznej (OST) są wymagania dotyczące wykonania i odbioru nawierzchni </w:t>
      </w:r>
      <w:r w:rsidRPr="002738CD">
        <w:rPr>
          <w:b w:val="0"/>
          <w:bCs w:val="0"/>
          <w:sz w:val="20"/>
          <w:szCs w:val="20"/>
          <w:lang w:eastAsia="pl-PL"/>
        </w:rPr>
        <w:t xml:space="preserve">tłuczniowej </w:t>
      </w:r>
      <w:r w:rsidR="002738CD" w:rsidRPr="002738CD">
        <w:rPr>
          <w:rFonts w:ascii="Times New Roman" w:eastAsia="Arial Unicode MS" w:hAnsi="Times New Roman"/>
          <w:b w:val="0"/>
          <w:sz w:val="20"/>
          <w:szCs w:val="20"/>
        </w:rPr>
        <w:t xml:space="preserve">dla zadania </w:t>
      </w:r>
      <w:r w:rsidR="002738CD" w:rsidRPr="002738CD">
        <w:rPr>
          <w:rFonts w:ascii="Times New Roman" w:hAnsi="Times New Roman"/>
          <w:b w:val="0"/>
          <w:sz w:val="20"/>
          <w:szCs w:val="20"/>
        </w:rPr>
        <w:t xml:space="preserve"> </w:t>
      </w:r>
      <w:r w:rsidR="00FD63F6">
        <w:rPr>
          <w:sz w:val="20"/>
          <w:szCs w:val="20"/>
        </w:rPr>
        <w:t>„Remont ul. Gajowej (droga gminna) w miejscowości Kaniów, gmina Zagnańsk."</w:t>
      </w:r>
      <w:r w:rsidRPr="000F5CCA">
        <w:rPr>
          <w:sz w:val="20"/>
          <w:szCs w:val="20"/>
        </w:rPr>
        <w:tab/>
      </w:r>
    </w:p>
    <w:p w:rsidR="00B02595" w:rsidRPr="005271B6" w:rsidRDefault="00B02595" w:rsidP="00571631">
      <w:pPr>
        <w:overflowPunct w:val="0"/>
        <w:autoSpaceDE w:val="0"/>
        <w:autoSpaceDN w:val="0"/>
        <w:adjustRightInd w:val="0"/>
        <w:jc w:val="both"/>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1.2. Zakres stosowania OST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Zaleca się wykorzystanie OST przy zlecaniu robót na drogach miejskich i gminnych.</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1.3. Zakres robót objętych OST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Ustalenia zawarte w niniejszej specyfikacji dotyczą zasad prowadzenia robót związanych z wykonaniem nawierzchni tłuczniowej, wg PN-S-96023 [20].</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Nawierzchnię tłuczniową wykonuje się, zgodnie z ustaleniami podanymi w dokumentacji projektowej:</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bezpośrednio na podłożu gruntowym przepuszczalnym,</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na warstwie gruntu ulepszonego wapnem lub popiołami lotnymi względnie na warstwie odcinającej - w przypadku podłoża nieprzepuszczalnego.</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1.4. Określenia podstawowe</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1.4.1. </w:t>
      </w:r>
      <w:r w:rsidRPr="005271B6">
        <w:rPr>
          <w:rFonts w:ascii="Times New Roman" w:hAnsi="Times New Roman" w:cs="Times New Roman"/>
          <w:sz w:val="20"/>
          <w:szCs w:val="20"/>
          <w:lang w:eastAsia="pl-PL"/>
        </w:rPr>
        <w:t>Nawierzchnia tłuczniowa - jedna lub więcej warstw z tłucznia i klińca kamiennego, leżących na podłożu naturalnym lub ulepszonym, zaklinowanych i uzdatnionych do bezpośredniego przejmowania ruchu.</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1.4.2. </w:t>
      </w:r>
      <w:r w:rsidRPr="005271B6">
        <w:rPr>
          <w:rFonts w:ascii="Times New Roman" w:hAnsi="Times New Roman" w:cs="Times New Roman"/>
          <w:sz w:val="20"/>
          <w:szCs w:val="20"/>
          <w:lang w:eastAsia="pl-PL"/>
        </w:rPr>
        <w:t>Kruszywo łamane - materiał ziarnisty uzyskany przez mechaniczne rozdrobnienie skał litych, wg PN-B-01100 [1].</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1.4.3. </w:t>
      </w:r>
      <w:r w:rsidRPr="005271B6">
        <w:rPr>
          <w:rFonts w:ascii="Times New Roman" w:hAnsi="Times New Roman" w:cs="Times New Roman"/>
          <w:sz w:val="20"/>
          <w:szCs w:val="20"/>
          <w:lang w:eastAsia="pl-PL"/>
        </w:rPr>
        <w:t>Kruszywo łamane zwykłe - kruszywo uzyskane w wyniku co najmniej jednokrotnego przekruszenia skał litych i rozsiania na frakcje lub grupy frakcji, charakteryzujące się ziarnami ostrokrawędziastymi o nieforemnych kształtach, wg PN-B-01100 [1].</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1.4.4. </w:t>
      </w:r>
      <w:r w:rsidRPr="005271B6">
        <w:rPr>
          <w:rFonts w:ascii="Times New Roman" w:hAnsi="Times New Roman" w:cs="Times New Roman"/>
          <w:sz w:val="20"/>
          <w:szCs w:val="20"/>
          <w:lang w:eastAsia="pl-PL"/>
        </w:rPr>
        <w:t>Tłuczeń - kruszywo łamane zwykłe o wielkości ziarn od 31,5 mm do 63 mm.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1.4.5. </w:t>
      </w:r>
      <w:r w:rsidRPr="005271B6">
        <w:rPr>
          <w:rFonts w:ascii="Times New Roman" w:hAnsi="Times New Roman" w:cs="Times New Roman"/>
          <w:sz w:val="20"/>
          <w:szCs w:val="20"/>
          <w:lang w:eastAsia="pl-PL"/>
        </w:rPr>
        <w:t>Kliniec - kruszywo łamane zwykłe o wielkości ziarn od 4 mm do 31,5 mm.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1.4.6. </w:t>
      </w:r>
      <w:r w:rsidRPr="005271B6">
        <w:rPr>
          <w:rFonts w:ascii="Times New Roman" w:hAnsi="Times New Roman" w:cs="Times New Roman"/>
          <w:sz w:val="20"/>
          <w:szCs w:val="20"/>
          <w:lang w:eastAsia="pl-PL"/>
        </w:rPr>
        <w:t>Miał - kruszywo łamane zwykłe o wielkości ziarn do 4 mm.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1.4.7. </w:t>
      </w:r>
      <w:r w:rsidRPr="005271B6">
        <w:rPr>
          <w:rFonts w:ascii="Times New Roman" w:hAnsi="Times New Roman" w:cs="Times New Roman"/>
          <w:sz w:val="20"/>
          <w:szCs w:val="20"/>
          <w:lang w:eastAsia="pl-PL"/>
        </w:rPr>
        <w:t>Mieszanka drobna granulowana - kruszywo uzyskane w wyniku rozdrobnienia w granulatorach łamanego kruszywa zwykłego, charakteryzujące się chropowatymi powierzchniami i foremnym kształtem ziarn o stępionych krawędziach i narożach, o wielkości ziarn od 0,075 mm do 4 mm.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1.4.8. </w:t>
      </w:r>
      <w:r w:rsidRPr="005271B6">
        <w:rPr>
          <w:rFonts w:ascii="Times New Roman" w:hAnsi="Times New Roman" w:cs="Times New Roman"/>
          <w:sz w:val="20"/>
          <w:szCs w:val="20"/>
          <w:lang w:eastAsia="pl-PL"/>
        </w:rPr>
        <w:t>Piasek - kruszywo naturalne o wielkości ziarn do 2 mm.</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1.4.9. </w:t>
      </w:r>
      <w:r w:rsidRPr="005271B6">
        <w:rPr>
          <w:rFonts w:ascii="Times New Roman" w:hAnsi="Times New Roman" w:cs="Times New Roman"/>
          <w:sz w:val="20"/>
          <w:szCs w:val="20"/>
          <w:lang w:eastAsia="pl-PL"/>
        </w:rPr>
        <w:t xml:space="preserve">Pozostałe określenia są zgodne z obowiązującymi, odpowiednimi polskimi normami i definicjami podanymi w OST D-05.02.00 „Nawierzchnie twarde nieulepszone. Wymagania ogólne” pkt 1.4. </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1.5. Ogólne wymagania dotyczące robót</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robót podano w OST D-05.02.00 „Nawierzchnie twarde nieulepszone. Wymagania ogólne” pkt 1.5.</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0" w:name="_2__materiały_1"/>
      <w:bookmarkEnd w:id="30"/>
      <w:r w:rsidRPr="005271B6">
        <w:rPr>
          <w:rFonts w:ascii="Times New Roman" w:hAnsi="Times New Roman" w:cs="Times New Roman"/>
          <w:b/>
          <w:bCs/>
          <w:caps/>
          <w:kern w:val="28"/>
          <w:sz w:val="20"/>
          <w:szCs w:val="20"/>
          <w:lang w:eastAsia="pl-PL"/>
        </w:rPr>
        <w:t>2. materiały</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2.1. Ogólne wymagania dotyczące materiałów</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materiałów, ich pozyskiwania i składowania podano w OST D-05.02.00 „Nawierzchnie twarde nieulepszone. Wymagania ogólne” pkt 2.</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2.2. Rodzaje materiałów</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Materiałami stosowanymi przy wykonaniu nawierzchni tłuczniowej wg PN-S-96023 [20] są:</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kruszywo łamane zwykłe - tłuczeń i kliniec, wg PN-B-11112 [15],</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mieszanka drobna granulowana, wg PN-B-11112 [15],</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lastRenderedPageBreak/>
        <w:t xml:space="preserve">      </w:t>
      </w:r>
      <w:r w:rsidRPr="005271B6">
        <w:rPr>
          <w:rFonts w:ascii="Times New Roman" w:hAnsi="Times New Roman" w:cs="Times New Roman"/>
          <w:sz w:val="20"/>
          <w:szCs w:val="20"/>
          <w:lang w:eastAsia="pl-PL"/>
        </w:rPr>
        <w:t>kruszywo do zamulenia górnej warstwy nawierzchni - miał, wg PN-B-11112 [15] lub piasek wg PN-B-11113 [16],</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woda do skropienia podczas wałowania i zamulania.</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2.3. Wymagania dla materiałów</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Klasa i gatunek kruszywa, w zależności od kategorii ruchu, powinna być zgodna z wymaganiami normy PN-S-96023 [20].</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Dla dróg obciążonych ruchem:</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średnim i lekkośrednim - kruszywo klasy co najmniej II gatunek 2,</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lekkim i bardzo lekkim - kruszywo klasy II lub III, gatunek 2.</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Wymagania dla kruszywa podano w tablicach 1, 2 i 3.</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1. Wymagania dla tłucznia i klińca klasy II i III według PN-B-11112 [15]</w:t>
      </w:r>
    </w:p>
    <w:tbl>
      <w:tblPr>
        <w:tblW w:w="0" w:type="auto"/>
        <w:tblInd w:w="-68" w:type="dxa"/>
        <w:tblCellMar>
          <w:left w:w="70" w:type="dxa"/>
          <w:right w:w="70" w:type="dxa"/>
        </w:tblCellMar>
        <w:tblLook w:val="00A0"/>
      </w:tblPr>
      <w:tblGrid>
        <w:gridCol w:w="496"/>
        <w:gridCol w:w="4677"/>
        <w:gridCol w:w="1168"/>
        <w:gridCol w:w="1169"/>
      </w:tblGrid>
      <w:tr w:rsidR="00B02595" w:rsidRPr="00974C6C">
        <w:tc>
          <w:tcPr>
            <w:tcW w:w="496" w:type="dxa"/>
            <w:tcBorders>
              <w:top w:val="single" w:sz="6" w:space="0" w:color="auto"/>
              <w:left w:val="single" w:sz="6" w:space="0" w:color="auto"/>
              <w:bottom w:val="nil"/>
              <w:right w:val="nil"/>
            </w:tcBorders>
            <w:noWrap/>
          </w:tcPr>
          <w:p w:rsidR="00B02595" w:rsidRPr="005271B6" w:rsidRDefault="00B02595" w:rsidP="008D1227">
            <w:pPr>
              <w:overflowPunct w:val="0"/>
              <w:autoSpaceDE w:val="0"/>
              <w:autoSpaceDN w:val="0"/>
              <w:adjustRightInd w:val="0"/>
              <w:spacing w:before="12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Lp.</w:t>
            </w:r>
          </w:p>
        </w:tc>
        <w:tc>
          <w:tcPr>
            <w:tcW w:w="4677" w:type="dxa"/>
            <w:tcBorders>
              <w:top w:val="single" w:sz="6" w:space="0" w:color="auto"/>
              <w:left w:val="single" w:sz="6" w:space="0" w:color="auto"/>
              <w:bottom w:val="nil"/>
              <w:right w:val="nil"/>
            </w:tcBorders>
            <w:noWrap/>
          </w:tcPr>
          <w:p w:rsidR="00B02595" w:rsidRPr="005271B6" w:rsidRDefault="00B02595" w:rsidP="008D1227">
            <w:pPr>
              <w:overflowPunct w:val="0"/>
              <w:autoSpaceDE w:val="0"/>
              <w:autoSpaceDN w:val="0"/>
              <w:adjustRightInd w:val="0"/>
              <w:spacing w:before="12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Właściwości</w:t>
            </w:r>
          </w:p>
        </w:tc>
        <w:tc>
          <w:tcPr>
            <w:tcW w:w="2337" w:type="dxa"/>
            <w:gridSpan w:val="2"/>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Wymagania</w:t>
            </w:r>
          </w:p>
        </w:tc>
      </w:tr>
      <w:tr w:rsidR="00B02595" w:rsidRPr="00974C6C">
        <w:tc>
          <w:tcPr>
            <w:tcW w:w="496" w:type="dxa"/>
            <w:tcBorders>
              <w:top w:val="nil"/>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nil"/>
              <w:bottom w:val="double" w:sz="6" w:space="0" w:color="auto"/>
              <w:right w:val="nil"/>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8"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klasa II</w:t>
            </w:r>
          </w:p>
        </w:tc>
        <w:tc>
          <w:tcPr>
            <w:tcW w:w="1168"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klasa III</w:t>
            </w:r>
          </w:p>
        </w:tc>
      </w:tr>
      <w:tr w:rsidR="00B02595" w:rsidRPr="00974C6C">
        <w:trPr>
          <w:trHeight w:val="885"/>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w:t>
            </w:r>
          </w:p>
        </w:tc>
        <w:tc>
          <w:tcPr>
            <w:tcW w:w="4677"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Ścieralność w bębnie kulowym (Los Angeles) wg PN-B-06714-42 [13]:</w:t>
            </w:r>
          </w:p>
          <w:p w:rsidR="00B02595" w:rsidRPr="005271B6" w:rsidRDefault="00B02595" w:rsidP="008D1227">
            <w:pPr>
              <w:numPr>
                <w:ilvl w:val="0"/>
                <w:numId w:val="4"/>
              </w:numPr>
              <w:tabs>
                <w:tab w:val="num" w:pos="277"/>
              </w:tabs>
              <w:overflowPunct w:val="0"/>
              <w:autoSpaceDE w:val="0"/>
              <w:autoSpaceDN w:val="0"/>
              <w:adjustRightInd w:val="0"/>
              <w:spacing w:after="0" w:line="240" w:lineRule="auto"/>
              <w:ind w:left="277"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po pełnej liczbie obrotów, % ubytku masy, nie więcej  niż:</w:t>
            </w:r>
          </w:p>
        </w:tc>
        <w:tc>
          <w:tcPr>
            <w:tcW w:w="1168"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8"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255"/>
        </w:trPr>
        <w:tc>
          <w:tcPr>
            <w:tcW w:w="496"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nil"/>
              <w:right w:val="single" w:sz="4" w:space="0" w:color="auto"/>
            </w:tcBorders>
            <w:noWrap/>
          </w:tcPr>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 tłuczniu</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35</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50</w:t>
            </w:r>
          </w:p>
        </w:tc>
      </w:tr>
      <w:tr w:rsidR="00B02595" w:rsidRPr="00974C6C">
        <w:trPr>
          <w:trHeight w:val="195"/>
        </w:trPr>
        <w:tc>
          <w:tcPr>
            <w:tcW w:w="496"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nil"/>
              <w:right w:val="single" w:sz="4" w:space="0" w:color="auto"/>
            </w:tcBorders>
            <w:noWrap/>
          </w:tcPr>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 klińcu</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40</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50</w:t>
            </w:r>
          </w:p>
        </w:tc>
      </w:tr>
      <w:tr w:rsidR="00B02595" w:rsidRPr="00974C6C">
        <w:trPr>
          <w:trHeight w:val="681"/>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6" w:space="0" w:color="auto"/>
              <w:bottom w:val="single" w:sz="6" w:space="0" w:color="auto"/>
              <w:right w:val="single" w:sz="6" w:space="0" w:color="auto"/>
            </w:tcBorders>
            <w:noWrap/>
          </w:tcPr>
          <w:p w:rsidR="00B02595" w:rsidRPr="005271B6" w:rsidRDefault="00B02595" w:rsidP="008D1227">
            <w:pPr>
              <w:numPr>
                <w:ilvl w:val="0"/>
                <w:numId w:val="6"/>
              </w:numPr>
              <w:overflowPunct w:val="0"/>
              <w:autoSpaceDE w:val="0"/>
              <w:autoSpaceDN w:val="0"/>
              <w:adjustRightInd w:val="0"/>
              <w:spacing w:after="6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po 1/5 pełnej liczby obrotów, % ubytku masy w stosunku do ubytku masy po pełnej liczbie obrotów, nie więcej niż:</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30</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35</w:t>
            </w:r>
          </w:p>
        </w:tc>
      </w:tr>
      <w:tr w:rsidR="00B02595" w:rsidRPr="00974C6C">
        <w:trPr>
          <w:trHeight w:val="405"/>
        </w:trPr>
        <w:tc>
          <w:tcPr>
            <w:tcW w:w="496"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w:t>
            </w:r>
          </w:p>
        </w:tc>
        <w:tc>
          <w:tcPr>
            <w:tcW w:w="4677"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Nasiąkliwość, wg PN-B-06714-18 [9], % (m/m), nie więcej niż:</w:t>
            </w:r>
          </w:p>
        </w:tc>
        <w:tc>
          <w:tcPr>
            <w:tcW w:w="1168"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8"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105"/>
        </w:trPr>
        <w:tc>
          <w:tcPr>
            <w:tcW w:w="496"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05"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nil"/>
              <w:right w:val="single" w:sz="4" w:space="0" w:color="auto"/>
            </w:tcBorders>
            <w:noWrap/>
          </w:tcPr>
          <w:p w:rsidR="00B02595" w:rsidRPr="005271B6" w:rsidRDefault="00B02595" w:rsidP="008D1227">
            <w:pPr>
              <w:numPr>
                <w:ilvl w:val="0"/>
                <w:numId w:val="8"/>
              </w:numPr>
              <w:overflowPunct w:val="0"/>
              <w:autoSpaceDE w:val="0"/>
              <w:autoSpaceDN w:val="0"/>
              <w:adjustRightInd w:val="0"/>
              <w:spacing w:after="0" w:line="105" w:lineRule="atLeast"/>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dla kruszyw ze skał magmowych i przeobrażonych</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05"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2,0</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05"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3,0</w:t>
            </w:r>
          </w:p>
        </w:tc>
      </w:tr>
      <w:tr w:rsidR="00B02595" w:rsidRPr="00974C6C">
        <w:trPr>
          <w:trHeight w:val="236"/>
        </w:trPr>
        <w:tc>
          <w:tcPr>
            <w:tcW w:w="496" w:type="dxa"/>
            <w:tcBorders>
              <w:top w:val="nil"/>
              <w:left w:val="single" w:sz="4" w:space="0" w:color="auto"/>
              <w:bottom w:val="single" w:sz="4" w:space="0" w:color="auto"/>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single" w:sz="4" w:space="0" w:color="auto"/>
              <w:right w:val="single" w:sz="4" w:space="0" w:color="auto"/>
            </w:tcBorders>
            <w:noWrap/>
          </w:tcPr>
          <w:p w:rsidR="00B02595" w:rsidRPr="005271B6" w:rsidRDefault="00B02595" w:rsidP="008D1227">
            <w:pPr>
              <w:numPr>
                <w:ilvl w:val="0"/>
                <w:numId w:val="8"/>
              </w:numPr>
              <w:overflowPunct w:val="0"/>
              <w:autoSpaceDE w:val="0"/>
              <w:autoSpaceDN w:val="0"/>
              <w:adjustRightInd w:val="0"/>
              <w:spacing w:after="6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dla kruszyw ze skał osadowych</w:t>
            </w:r>
          </w:p>
        </w:tc>
        <w:tc>
          <w:tcPr>
            <w:tcW w:w="1168" w:type="dxa"/>
            <w:tcBorders>
              <w:top w:val="nil"/>
              <w:left w:val="single" w:sz="4" w:space="0" w:color="auto"/>
              <w:bottom w:val="single" w:sz="4" w:space="0" w:color="auto"/>
              <w:right w:val="single" w:sz="4"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3,0</w:t>
            </w:r>
          </w:p>
        </w:tc>
        <w:tc>
          <w:tcPr>
            <w:tcW w:w="1168" w:type="dxa"/>
            <w:tcBorders>
              <w:top w:val="nil"/>
              <w:left w:val="single" w:sz="4" w:space="0" w:color="auto"/>
              <w:bottom w:val="single" w:sz="4" w:space="0" w:color="auto"/>
              <w:right w:val="single" w:sz="4"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5,0</w:t>
            </w:r>
          </w:p>
        </w:tc>
      </w:tr>
      <w:tr w:rsidR="00B02595" w:rsidRPr="00974C6C">
        <w:trPr>
          <w:trHeight w:val="510"/>
        </w:trPr>
        <w:tc>
          <w:tcPr>
            <w:tcW w:w="496" w:type="dxa"/>
            <w:tcBorders>
              <w:top w:val="single" w:sz="4"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w:t>
            </w:r>
          </w:p>
        </w:tc>
        <w:tc>
          <w:tcPr>
            <w:tcW w:w="4677" w:type="dxa"/>
            <w:tcBorders>
              <w:top w:val="single" w:sz="4"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Odporność na działanie mrozu, wg PN-B-06714-20 [11], % ubytku masy, nie więcej niż:</w:t>
            </w:r>
          </w:p>
        </w:tc>
        <w:tc>
          <w:tcPr>
            <w:tcW w:w="1168" w:type="dxa"/>
            <w:tcBorders>
              <w:top w:val="single" w:sz="4"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8" w:type="dxa"/>
            <w:tcBorders>
              <w:top w:val="single" w:sz="4"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210"/>
        </w:trPr>
        <w:tc>
          <w:tcPr>
            <w:tcW w:w="496"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nil"/>
              <w:right w:val="single" w:sz="4" w:space="0" w:color="auto"/>
            </w:tcBorders>
            <w:noWrap/>
          </w:tcPr>
          <w:p w:rsidR="00B02595" w:rsidRPr="005271B6" w:rsidRDefault="00B02595" w:rsidP="008D1227">
            <w:pPr>
              <w:numPr>
                <w:ilvl w:val="0"/>
                <w:numId w:val="10"/>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dla kruszyw ze skał magmowych i przeobrażonych</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4,0</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10,0</w:t>
            </w:r>
          </w:p>
        </w:tc>
      </w:tr>
      <w:tr w:rsidR="00B02595" w:rsidRPr="00974C6C">
        <w:trPr>
          <w:trHeight w:val="285"/>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6" w:space="0" w:color="auto"/>
              <w:bottom w:val="single" w:sz="6" w:space="0" w:color="auto"/>
              <w:right w:val="single" w:sz="6" w:space="0" w:color="auto"/>
            </w:tcBorders>
            <w:noWrap/>
          </w:tcPr>
          <w:p w:rsidR="00B02595" w:rsidRPr="005271B6" w:rsidRDefault="00B02595" w:rsidP="008D1227">
            <w:pPr>
              <w:numPr>
                <w:ilvl w:val="0"/>
                <w:numId w:val="10"/>
              </w:numPr>
              <w:overflowPunct w:val="0"/>
              <w:autoSpaceDE w:val="0"/>
              <w:autoSpaceDN w:val="0"/>
              <w:adjustRightInd w:val="0"/>
              <w:spacing w:after="6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dla kruszyw ze skał osadowych</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5,0</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10,0</w:t>
            </w:r>
          </w:p>
        </w:tc>
      </w:tr>
      <w:tr w:rsidR="00B02595" w:rsidRPr="00974C6C">
        <w:trPr>
          <w:trHeight w:val="705"/>
        </w:trPr>
        <w:tc>
          <w:tcPr>
            <w:tcW w:w="496"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w:t>
            </w:r>
          </w:p>
        </w:tc>
        <w:tc>
          <w:tcPr>
            <w:tcW w:w="4677"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Odporność na działanie mrozu wg zmodyfikowanej metody bezpośredniej, wg PN-B-06714-19 [10] i PN-B-11112 [15], nie więcej niż:</w:t>
            </w:r>
          </w:p>
        </w:tc>
        <w:tc>
          <w:tcPr>
            <w:tcW w:w="1168"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8"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180"/>
        </w:trPr>
        <w:tc>
          <w:tcPr>
            <w:tcW w:w="496"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80"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4" w:space="0" w:color="auto"/>
              <w:bottom w:val="nil"/>
              <w:right w:val="single" w:sz="4" w:space="0" w:color="auto"/>
            </w:tcBorders>
            <w:noWrap/>
          </w:tcPr>
          <w:p w:rsidR="00B02595" w:rsidRPr="005271B6" w:rsidRDefault="00B02595" w:rsidP="008D1227">
            <w:pPr>
              <w:numPr>
                <w:ilvl w:val="0"/>
                <w:numId w:val="2"/>
              </w:numPr>
              <w:overflowPunct w:val="0"/>
              <w:autoSpaceDE w:val="0"/>
              <w:autoSpaceDN w:val="0"/>
              <w:adjustRightInd w:val="0"/>
              <w:spacing w:after="0" w:line="180" w:lineRule="atLeast"/>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 klińcu,</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80"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30</w:t>
            </w:r>
          </w:p>
        </w:tc>
        <w:tc>
          <w:tcPr>
            <w:tcW w:w="1168" w:type="dxa"/>
            <w:tcBorders>
              <w:top w:val="nil"/>
              <w:left w:val="single" w:sz="4" w:space="0" w:color="auto"/>
              <w:bottom w:val="nil"/>
              <w:right w:val="single" w:sz="4" w:space="0" w:color="auto"/>
            </w:tcBorders>
            <w:noWrap/>
          </w:tcPr>
          <w:p w:rsidR="00B02595" w:rsidRPr="005271B6" w:rsidRDefault="00B02595" w:rsidP="008D1227">
            <w:pPr>
              <w:overflowPunct w:val="0"/>
              <w:autoSpaceDE w:val="0"/>
              <w:autoSpaceDN w:val="0"/>
              <w:adjustRightInd w:val="0"/>
              <w:spacing w:before="60" w:after="0" w:line="180"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nie</w:t>
            </w:r>
          </w:p>
        </w:tc>
      </w:tr>
      <w:tr w:rsidR="00B02595" w:rsidRPr="00974C6C">
        <w:trPr>
          <w:trHeight w:val="308"/>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6" w:space="0" w:color="auto"/>
              <w:bottom w:val="single" w:sz="6" w:space="0" w:color="auto"/>
              <w:right w:val="single" w:sz="6" w:space="0" w:color="auto"/>
            </w:tcBorders>
            <w:noWrap/>
          </w:tcPr>
          <w:p w:rsidR="00B02595" w:rsidRPr="005271B6" w:rsidRDefault="00B02595" w:rsidP="008D1227">
            <w:pPr>
              <w:numPr>
                <w:ilvl w:val="0"/>
                <w:numId w:val="2"/>
              </w:numPr>
              <w:overflowPunct w:val="0"/>
              <w:autoSpaceDE w:val="0"/>
              <w:autoSpaceDN w:val="0"/>
              <w:adjustRightInd w:val="0"/>
              <w:spacing w:after="6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 tłuczniu</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nie bada się</w:t>
            </w:r>
          </w:p>
        </w:tc>
        <w:tc>
          <w:tcPr>
            <w:tcW w:w="1168"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bada się</w:t>
            </w:r>
          </w:p>
        </w:tc>
      </w:tr>
    </w:tbl>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2. Wymagania dla tłucznia i klińca gatunku 2, według PN-B-11112 [15]</w:t>
      </w:r>
    </w:p>
    <w:tbl>
      <w:tblPr>
        <w:tblW w:w="0" w:type="auto"/>
        <w:tblInd w:w="-68" w:type="dxa"/>
        <w:tblCellMar>
          <w:left w:w="70" w:type="dxa"/>
          <w:right w:w="70" w:type="dxa"/>
        </w:tblCellMar>
        <w:tblLook w:val="00A0"/>
      </w:tblPr>
      <w:tblGrid>
        <w:gridCol w:w="496"/>
        <w:gridCol w:w="5244"/>
        <w:gridCol w:w="1770"/>
      </w:tblGrid>
      <w:tr w:rsidR="00B02595" w:rsidRPr="00974C6C">
        <w:tc>
          <w:tcPr>
            <w:tcW w:w="496"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Lp.</w:t>
            </w:r>
          </w:p>
        </w:tc>
        <w:tc>
          <w:tcPr>
            <w:tcW w:w="5244"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Właściwości</w:t>
            </w:r>
          </w:p>
        </w:tc>
        <w:tc>
          <w:tcPr>
            <w:tcW w:w="1770"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Wymagania</w:t>
            </w:r>
          </w:p>
        </w:tc>
      </w:tr>
      <w:tr w:rsidR="00B02595" w:rsidRPr="00974C6C">
        <w:trPr>
          <w:trHeight w:val="705"/>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w:t>
            </w:r>
          </w:p>
        </w:tc>
        <w:tc>
          <w:tcPr>
            <w:tcW w:w="5244"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Uziarnienie wg PN-B-06714-15 [7]:</w:t>
            </w:r>
          </w:p>
          <w:p w:rsidR="00B02595" w:rsidRPr="005271B6" w:rsidRDefault="00B02595" w:rsidP="008D1227">
            <w:pPr>
              <w:numPr>
                <w:ilvl w:val="0"/>
                <w:numId w:val="1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zawartość ziarn mniejszych niż 0,075 mm, odsianych na mokro, % (m/m), nie więcej niż:</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240"/>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 w tłuczniu</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w:t>
            </w:r>
          </w:p>
        </w:tc>
      </w:tr>
      <w:tr w:rsidR="00B02595" w:rsidRPr="00974C6C">
        <w:trPr>
          <w:trHeight w:val="210"/>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xml:space="preserve">      - w klińcu</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w:t>
            </w:r>
          </w:p>
        </w:tc>
      </w:tr>
      <w:tr w:rsidR="00B02595" w:rsidRPr="00974C6C">
        <w:trPr>
          <w:trHeight w:val="375"/>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nil"/>
              <w:right w:val="single" w:sz="6" w:space="0" w:color="auto"/>
            </w:tcBorders>
            <w:noWrap/>
          </w:tcPr>
          <w:p w:rsidR="00B02595" w:rsidRPr="005271B6" w:rsidRDefault="00B02595" w:rsidP="008D1227">
            <w:pPr>
              <w:numPr>
                <w:ilvl w:val="0"/>
                <w:numId w:val="1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zawartość frakcji podstawowej w tłuczniu lub klińcu, % (m/m), nie mniej niż:</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75</w:t>
            </w:r>
          </w:p>
        </w:tc>
      </w:tr>
      <w:tr w:rsidR="00B02595" w:rsidRPr="00974C6C">
        <w:trPr>
          <w:trHeight w:val="405"/>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nil"/>
              <w:right w:val="single" w:sz="6" w:space="0" w:color="auto"/>
            </w:tcBorders>
            <w:noWrap/>
          </w:tcPr>
          <w:p w:rsidR="00B02595" w:rsidRPr="005271B6" w:rsidRDefault="00B02595" w:rsidP="008D1227">
            <w:pPr>
              <w:numPr>
                <w:ilvl w:val="0"/>
                <w:numId w:val="1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zawartość podziarna w tłuczniu lub klińcu, % (m/m), nie więcej niż:</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15</w:t>
            </w:r>
          </w:p>
        </w:tc>
      </w:tr>
      <w:tr w:rsidR="00B02595" w:rsidRPr="00974C6C">
        <w:trPr>
          <w:trHeight w:val="529"/>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 </w:t>
            </w:r>
          </w:p>
        </w:tc>
        <w:tc>
          <w:tcPr>
            <w:tcW w:w="5244" w:type="dxa"/>
            <w:tcBorders>
              <w:top w:val="nil"/>
              <w:left w:val="single" w:sz="6" w:space="0" w:color="auto"/>
              <w:bottom w:val="single" w:sz="6" w:space="0" w:color="auto"/>
              <w:right w:val="single" w:sz="6" w:space="0" w:color="auto"/>
            </w:tcBorders>
            <w:noWrap/>
          </w:tcPr>
          <w:p w:rsidR="00B02595" w:rsidRPr="005271B6" w:rsidRDefault="00B02595" w:rsidP="008D1227">
            <w:pPr>
              <w:numPr>
                <w:ilvl w:val="0"/>
                <w:numId w:val="14"/>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zawartość nadziarna w tłuczniu lub klińcu, % (m/m), nie więcej niż:</w:t>
            </w:r>
          </w:p>
        </w:tc>
        <w:tc>
          <w:tcPr>
            <w:tcW w:w="1770"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15</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w:t>
            </w:r>
          </w:p>
        </w:tc>
        <w:tc>
          <w:tcPr>
            <w:tcW w:w="5244"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zanieczyszczeń obcych w tłuczniu lub klińcu, wg PN-B-06714-12 [6], % (m/m), nie więcej niż:</w:t>
            </w:r>
          </w:p>
        </w:tc>
        <w:tc>
          <w:tcPr>
            <w:tcW w:w="1770"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2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0,2</w:t>
            </w:r>
          </w:p>
        </w:tc>
      </w:tr>
      <w:tr w:rsidR="00B02595" w:rsidRPr="00974C6C">
        <w:trPr>
          <w:trHeight w:val="375"/>
        </w:trPr>
        <w:tc>
          <w:tcPr>
            <w:tcW w:w="496"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w:t>
            </w:r>
          </w:p>
        </w:tc>
        <w:tc>
          <w:tcPr>
            <w:tcW w:w="5244"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ziarn nieforemnych, wg PN-B-06714-16 [8], % (m/m), nie więcej niż:</w:t>
            </w:r>
          </w:p>
        </w:tc>
        <w:tc>
          <w:tcPr>
            <w:tcW w:w="1770"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165"/>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165"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165" w:lineRule="atLeast"/>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 tłuczniu</w:t>
            </w:r>
          </w:p>
        </w:tc>
        <w:tc>
          <w:tcPr>
            <w:tcW w:w="1770"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165" w:lineRule="atLeast"/>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40</w:t>
            </w:r>
          </w:p>
        </w:tc>
      </w:tr>
      <w:tr w:rsidR="00B02595" w:rsidRPr="00974C6C">
        <w:trPr>
          <w:trHeight w:val="269"/>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5244"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 klińcu</w:t>
            </w:r>
          </w:p>
        </w:tc>
        <w:tc>
          <w:tcPr>
            <w:tcW w:w="1770"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nie bada się</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w:t>
            </w:r>
          </w:p>
        </w:tc>
        <w:tc>
          <w:tcPr>
            <w:tcW w:w="5244"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zanieczyszczeń organicznych w tłuczniu lub klińcu wg PN-B-06714-26 [12], barwa cieczy nie ciemniejsza niż:</w:t>
            </w:r>
          </w:p>
        </w:tc>
        <w:tc>
          <w:tcPr>
            <w:tcW w:w="1770"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2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wzorcowa</w:t>
            </w:r>
          </w:p>
        </w:tc>
      </w:tr>
    </w:tbl>
    <w:p w:rsidR="00B02595" w:rsidRPr="005271B6" w:rsidRDefault="00B02595" w:rsidP="008D1227">
      <w:pPr>
        <w:overflowPunct w:val="0"/>
        <w:autoSpaceDE w:val="0"/>
        <w:autoSpaceDN w:val="0"/>
        <w:adjustRightInd w:val="0"/>
        <w:spacing w:before="24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before="24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3. Wymagania dla miału i mieszanki drobnej granulowanej wg PN-B-11112[15]</w:t>
      </w:r>
    </w:p>
    <w:tbl>
      <w:tblPr>
        <w:tblW w:w="0" w:type="auto"/>
        <w:tblInd w:w="-68" w:type="dxa"/>
        <w:tblCellMar>
          <w:left w:w="70" w:type="dxa"/>
          <w:right w:w="70" w:type="dxa"/>
        </w:tblCellMar>
        <w:tblLook w:val="00A0"/>
      </w:tblPr>
      <w:tblGrid>
        <w:gridCol w:w="496"/>
        <w:gridCol w:w="4677"/>
        <w:gridCol w:w="1167"/>
        <w:gridCol w:w="1170"/>
      </w:tblGrid>
      <w:tr w:rsidR="00B02595" w:rsidRPr="00974C6C">
        <w:tc>
          <w:tcPr>
            <w:tcW w:w="496" w:type="dxa"/>
            <w:tcBorders>
              <w:top w:val="single" w:sz="6" w:space="0" w:color="auto"/>
              <w:left w:val="single" w:sz="6" w:space="0" w:color="auto"/>
              <w:bottom w:val="nil"/>
              <w:right w:val="nil"/>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single" w:sz="6" w:space="0" w:color="auto"/>
              <w:left w:val="single" w:sz="6" w:space="0" w:color="auto"/>
              <w:bottom w:val="nil"/>
              <w:right w:val="nil"/>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2337" w:type="dxa"/>
            <w:gridSpan w:val="2"/>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Wymagania dla</w:t>
            </w:r>
          </w:p>
        </w:tc>
      </w:tr>
      <w:tr w:rsidR="00B02595" w:rsidRPr="00974C6C">
        <w:tc>
          <w:tcPr>
            <w:tcW w:w="496" w:type="dxa"/>
            <w:tcBorders>
              <w:top w:val="nil"/>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Lp.</w:t>
            </w:r>
          </w:p>
        </w:tc>
        <w:tc>
          <w:tcPr>
            <w:tcW w:w="4677" w:type="dxa"/>
            <w:tcBorders>
              <w:top w:val="nil"/>
              <w:left w:val="nil"/>
              <w:bottom w:val="double" w:sz="6" w:space="0" w:color="auto"/>
              <w:right w:val="nil"/>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Właściwości</w:t>
            </w:r>
          </w:p>
        </w:tc>
        <w:tc>
          <w:tcPr>
            <w:tcW w:w="1167"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18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miału</w:t>
            </w:r>
          </w:p>
        </w:tc>
        <w:tc>
          <w:tcPr>
            <w:tcW w:w="1167" w:type="dxa"/>
            <w:tcBorders>
              <w:top w:val="single" w:sz="6" w:space="0" w:color="auto"/>
              <w:left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18"/>
                <w:szCs w:val="18"/>
                <w:lang w:eastAsia="pl-PL"/>
              </w:rPr>
              <w:t>mieszanki drobnej granulowanej</w:t>
            </w:r>
          </w:p>
        </w:tc>
      </w:tr>
      <w:tr w:rsidR="00B02595" w:rsidRPr="00974C6C">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w:t>
            </w:r>
          </w:p>
        </w:tc>
        <w:tc>
          <w:tcPr>
            <w:tcW w:w="467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zanieczyszczeń obcych, wg PN-B-06714-12 [6], % (m/m), nie więcej niż:</w:t>
            </w:r>
          </w:p>
        </w:tc>
        <w:tc>
          <w:tcPr>
            <w:tcW w:w="116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0,5</w:t>
            </w:r>
          </w:p>
        </w:tc>
        <w:tc>
          <w:tcPr>
            <w:tcW w:w="116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0,1</w:t>
            </w:r>
          </w:p>
        </w:tc>
      </w:tr>
      <w:tr w:rsidR="00B02595" w:rsidRPr="00974C6C">
        <w:trPr>
          <w:trHeight w:val="420"/>
        </w:trPr>
        <w:tc>
          <w:tcPr>
            <w:tcW w:w="496"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w:t>
            </w:r>
          </w:p>
        </w:tc>
        <w:tc>
          <w:tcPr>
            <w:tcW w:w="4677"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Wskaźnik piaskowy, wg BN-64/8931-01 [22], nie mniejszy niż:</w:t>
            </w:r>
          </w:p>
        </w:tc>
        <w:tc>
          <w:tcPr>
            <w:tcW w:w="1167"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1167"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r>
      <w:tr w:rsidR="00B02595" w:rsidRPr="00974C6C">
        <w:trPr>
          <w:trHeight w:val="270"/>
        </w:trPr>
        <w:tc>
          <w:tcPr>
            <w:tcW w:w="496"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dla kruszywa z wyjątkiem wapieni</w:t>
            </w:r>
          </w:p>
        </w:tc>
        <w:tc>
          <w:tcPr>
            <w:tcW w:w="1167"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20</w:t>
            </w:r>
          </w:p>
        </w:tc>
        <w:tc>
          <w:tcPr>
            <w:tcW w:w="1167" w:type="dxa"/>
            <w:tcBorders>
              <w:top w:val="nil"/>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65</w:t>
            </w:r>
          </w:p>
        </w:tc>
      </w:tr>
      <w:tr w:rsidR="00B02595" w:rsidRPr="00974C6C">
        <w:trPr>
          <w:trHeight w:val="299"/>
        </w:trPr>
        <w:tc>
          <w:tcPr>
            <w:tcW w:w="496"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467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dla kruszywa z wapieni</w:t>
            </w:r>
          </w:p>
        </w:tc>
        <w:tc>
          <w:tcPr>
            <w:tcW w:w="116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20</w:t>
            </w:r>
          </w:p>
        </w:tc>
        <w:tc>
          <w:tcPr>
            <w:tcW w:w="1167" w:type="dxa"/>
            <w:tcBorders>
              <w:top w:val="nil"/>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40</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3</w:t>
            </w:r>
          </w:p>
        </w:tc>
        <w:tc>
          <w:tcPr>
            <w:tcW w:w="467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zanieczyszczeń organicznych, wg PN-B-06714-26 [12]. Barwa cieczy nie ciemniejsza niż:</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wzorcowa</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wzorcowa</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4</w:t>
            </w:r>
          </w:p>
        </w:tc>
        <w:tc>
          <w:tcPr>
            <w:tcW w:w="467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nadziarna, wg PN-B-06714-15 [7], % (m/m), nie więcej niż:</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20</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15</w:t>
            </w:r>
          </w:p>
        </w:tc>
      </w:tr>
      <w:tr w:rsidR="00B02595" w:rsidRPr="00974C6C">
        <w:tc>
          <w:tcPr>
            <w:tcW w:w="496"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5</w:t>
            </w:r>
          </w:p>
        </w:tc>
        <w:tc>
          <w:tcPr>
            <w:tcW w:w="467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Zawartość frakcji od 2,0 mm do 4,0 mm, wg PN-B-06714-15 [7], % (m/m), nie mniej niż:</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nie</w:t>
            </w:r>
          </w:p>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bada się</w:t>
            </w:r>
          </w:p>
        </w:tc>
        <w:tc>
          <w:tcPr>
            <w:tcW w:w="1167" w:type="dxa"/>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180"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15</w:t>
            </w:r>
          </w:p>
        </w:tc>
      </w:tr>
    </w:tbl>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1" w:name="_3__sprzęt_1"/>
      <w:bookmarkEnd w:id="31"/>
      <w:r w:rsidRPr="005271B6">
        <w:rPr>
          <w:rFonts w:ascii="Times New Roman" w:hAnsi="Times New Roman" w:cs="Times New Roman"/>
          <w:b/>
          <w:bCs/>
          <w:caps/>
          <w:kern w:val="28"/>
          <w:sz w:val="20"/>
          <w:szCs w:val="20"/>
          <w:lang w:eastAsia="pl-PL"/>
        </w:rPr>
        <w:t>3. sprzęt</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3.1. Ogólne wymagania dotyczące sprzętu</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wymagania dotyczące sprzętu podano w OST D-05.02.00 „Nawierzchnie twarde nieulepszone. Wymagania ogólne” pkt 3.</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3.2. Sprzęt do wykonania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Wykonawca przystępujący do wykonania robót powinien wykazać się możliwością korzystania z następującego sprzętu:</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układarek lub równiarek do rozścielania tłucznia,</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walców statycznych, zwykle o nacisku jednostkowym co najmniej 30 kN/m, ew. walców wibracyjnych o nacisku jednostkowym wału wibrującego co najmniej 18 kN/m lub płytowych zagęszczarek wibracyjnych o nacisku jednostkowym co najmniej 16 kN/m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w:t>
      </w:r>
    </w:p>
    <w:p w:rsidR="00B02595" w:rsidRPr="005271B6" w:rsidRDefault="00B02595" w:rsidP="008D1227">
      <w:pPr>
        <w:numPr>
          <w:ilvl w:val="0"/>
          <w:numId w:val="2"/>
        </w:numPr>
        <w:overflowPunct w:val="0"/>
        <w:autoSpaceDE w:val="0"/>
        <w:autoSpaceDN w:val="0"/>
        <w:adjustRightInd w:val="0"/>
        <w:spacing w:after="12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 xml:space="preserve">przewoźnych zbiorników do wody (beczkowozów) zaopatrzonych w urządzenia do rozpryskiwania wody </w:t>
      </w:r>
      <w:r>
        <w:rPr>
          <w:rFonts w:ascii="Times New Roman" w:hAnsi="Times New Roman" w:cs="Times New Roman"/>
          <w:sz w:val="20"/>
          <w:szCs w:val="20"/>
          <w:lang w:eastAsia="pl-PL"/>
        </w:rPr>
        <w:t>o</w:t>
      </w:r>
      <w:r w:rsidRPr="005271B6">
        <w:rPr>
          <w:rFonts w:ascii="Times New Roman" w:hAnsi="Times New Roman" w:cs="Times New Roman"/>
          <w:sz w:val="20"/>
          <w:szCs w:val="20"/>
          <w:lang w:eastAsia="pl-PL"/>
        </w:rPr>
        <w:t>raz pomp do napełniania beczkowozów wodą.</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2" w:name="_4__transport_1"/>
      <w:bookmarkEnd w:id="32"/>
      <w:r w:rsidRPr="005271B6">
        <w:rPr>
          <w:rFonts w:ascii="Times New Roman" w:hAnsi="Times New Roman" w:cs="Times New Roman"/>
          <w:b/>
          <w:bCs/>
          <w:caps/>
          <w:kern w:val="28"/>
          <w:sz w:val="20"/>
          <w:szCs w:val="20"/>
          <w:lang w:eastAsia="pl-PL"/>
        </w:rPr>
        <w:t>4. transport</w:t>
      </w:r>
    </w:p>
    <w:p w:rsidR="00B02595" w:rsidRPr="005271B6" w:rsidRDefault="00B02595" w:rsidP="008D1227">
      <w:pPr>
        <w:overflowPunct w:val="0"/>
        <w:autoSpaceDE w:val="0"/>
        <w:autoSpaceDN w:val="0"/>
        <w:adjustRightInd w:val="0"/>
        <w:spacing w:after="120" w:line="240" w:lineRule="auto"/>
        <w:ind w:firstLine="709"/>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Ogólne wymagania dotyczące transportu podano w OST D-05.02.00 „Nawierzchnie twarde nieulepszone. Wymagania ogólne” pkt 4.</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3" w:name="_5__wykonanie_robót_1"/>
      <w:bookmarkEnd w:id="33"/>
      <w:r w:rsidRPr="005271B6">
        <w:rPr>
          <w:rFonts w:ascii="Times New Roman" w:hAnsi="Times New Roman" w:cs="Times New Roman"/>
          <w:b/>
          <w:bCs/>
          <w:caps/>
          <w:kern w:val="28"/>
          <w:sz w:val="20"/>
          <w:szCs w:val="20"/>
          <w:lang w:eastAsia="pl-PL"/>
        </w:rPr>
        <w:lastRenderedPageBreak/>
        <w:t>5. wykonanie robót</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5.1. Ogólne zasady wykonania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wykonania robót podano w OST D-05.02.00 „Nawierzchnie twarde nieulepszone. Wymagania ogólne” pkt 5.</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5.2. Przygotowanie podłoża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Podłoże pod nawierzchnię tłuczniową powinno być przygotowane zgodnie z warunkami ogólnymi określonymi w OST D-05.02.00 „Nawierzchnie twarde nieulepszone. Wymagania ogólne” pkt 5.2.</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Nawierzchnia tłuczniowa powinna być ułożona na podłożu zapewniającym nieprzenikanie drobnych cząstek gruntu do warstwy nawierzchni. Na gruncie spoistym, pod nawierzchnią tłuczniową powinna być ułożona warstwa odcinająca albo warstwa geotekstyliów.</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 przypadku zastosowania pomiędzy warstwą nawierzchni tłuczniowej a spoistym gruntem podłoża warstwy odcinającej, powinien być spełniony warunek nieprzenikania cząstek drobnych, wyrażony wzorem:</w:t>
      </w:r>
    </w:p>
    <w:p w:rsidR="00B02595" w:rsidRPr="005271B6" w:rsidRDefault="00CB5363"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CB5363">
        <w:rPr>
          <w:rFonts w:ascii="Times New Roman" w:hAnsi="Times New Roman" w:cs="Times New Roman"/>
          <w:noProof/>
          <w:sz w:val="20"/>
          <w:szCs w:val="20"/>
          <w:vertAlign w:val="subscript"/>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32.05pt;height:36pt;visibility:visible">
            <v:imagedata r:id="rId5" o:title=""/>
          </v:shape>
        </w:pic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gdzie:</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D</w:t>
      </w:r>
      <w:r w:rsidRPr="005271B6">
        <w:rPr>
          <w:rFonts w:ascii="Times New Roman" w:hAnsi="Times New Roman" w:cs="Times New Roman"/>
          <w:sz w:val="20"/>
          <w:szCs w:val="20"/>
          <w:vertAlign w:val="subscript"/>
          <w:lang w:eastAsia="pl-PL"/>
        </w:rPr>
        <w:t>15</w:t>
      </w:r>
      <w:r w:rsidRPr="005271B6">
        <w:rPr>
          <w:rFonts w:ascii="Times New Roman" w:hAnsi="Times New Roman" w:cs="Times New Roman"/>
          <w:sz w:val="20"/>
          <w:szCs w:val="20"/>
          <w:lang w:eastAsia="pl-PL"/>
        </w:rPr>
        <w:t xml:space="preserve"> - wymiar sita, przez które przechodzi 15% ziarn warstwy odcinającej,</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D</w:t>
      </w:r>
      <w:r w:rsidRPr="005271B6">
        <w:rPr>
          <w:rFonts w:ascii="Times New Roman" w:hAnsi="Times New Roman" w:cs="Times New Roman"/>
          <w:sz w:val="20"/>
          <w:szCs w:val="20"/>
          <w:vertAlign w:val="subscript"/>
          <w:lang w:eastAsia="pl-PL"/>
        </w:rPr>
        <w:t>85</w:t>
      </w:r>
      <w:r w:rsidRPr="005271B6">
        <w:rPr>
          <w:rFonts w:ascii="Times New Roman" w:hAnsi="Times New Roman" w:cs="Times New Roman"/>
          <w:sz w:val="20"/>
          <w:szCs w:val="20"/>
          <w:lang w:eastAsia="pl-PL"/>
        </w:rPr>
        <w:t xml:space="preserve"> - wymiar sita, przez które przechodzi 85% ziarn gruntu podłoża.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Geotekstylia przewidziane do użycia pod nawierzchnię tłuczniową powinny posiadać aprobatę techniczną wydaną przez uprawnioną jednostkę. W szczególności wymagana jest odpowiednia wytrzymałość mechaniczna geotekstyliów, uniemożliwiająca ich przebicie przez ziarna tłucznia oraz odpowiednie właściwości filtracyjne, dostosowane do uziarnienia podłoża gruntowego.</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5.3. Odcinek próbny</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stwierdzenia, czy sprzęt stosowany przy rozkładaniu i zagęszczaniu jest właściwy,</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określenia grubości warstwy w stanie luźnym, koniecznej do uzyskania wymaganej grubości warstwy zagęszczonej,</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ustalenia liczby przejść sprzętu zagęszczającego, koniecznej do uzyskania wymaganego zagęszczenia warstwy.</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Na odcinku próbnym Wykonawca powinien użyć takich materiałów oraz sprzętu, jakie będą stosowane do wykonywania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Powierzchnia odcinka próbnego powinna wynosić od 400 do 800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a długość nie powinna być mniejsza niż 200 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Odcinek próbny powinien być zlokalizowany w miejscu wskazanym przez Inżyniera.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Wykonawca może przystąpić do wykonywania nawierzchni po zaakceptowaniu odcinka próbnego przez Inżyniera.</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5.4. Wbudowanie i zagęszczanie kruszywa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Minimalna grubość warstwy nawierzchni tłuczniowej nie może być po zagęszczeniu mniejsza od 7 cm.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Maksymalna grubość warstwy nawierzchni po zagęszczeniu nie może przekraczać 20 cm. Nawierzchnię o grubości powyżej 20 cm należy wykonywać w dwóch warstwach.</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Kruszywo grube powinno być rozkładane w warstwie o jednakowej grubości, przy użyciu układarki albo równiarki. Grubość rozłożonej warstwy luźnego kruszywa powinna być taka, aby po jej zagęszczeniu i zaklinowaniu osiągnięto grubość projektowaną.</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Kruszywo grube po rozłożeniu powinno być zagęszczane przejściami walca statycznego gładkiego, o nacisku jednostkowym nie mniejszym niż 30 kN/m. Zagęszczenie nawierzchni o przekroju daszkowym powinno rozpocząć się od krawędzi i stopniowo przesuwać pasami podłużnymi, częściowo nakładającymi się, w kierunku jej osi. Zagęszczanie nawierzchni o jednostronnym spadku poprzecznym powinno rozpocząć się od dolnej krawędzi i przesuwać pasami podłużnymi, częściowo nakładającymi się, w kierunku jej górnej krawędzi. Dobór walca gładkiego w zależności od twardości tłucznia, można przyjmować według tablicy 4.</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4. Dobór walca gładkiego w zależności od twardości tłucznia</w:t>
      </w:r>
    </w:p>
    <w:tbl>
      <w:tblPr>
        <w:tblW w:w="0" w:type="auto"/>
        <w:tblInd w:w="-68"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A0"/>
      </w:tblPr>
      <w:tblGrid>
        <w:gridCol w:w="4181"/>
        <w:gridCol w:w="3329"/>
      </w:tblGrid>
      <w:tr w:rsidR="00B02595" w:rsidRPr="00974C6C">
        <w:tc>
          <w:tcPr>
            <w:tcW w:w="4181" w:type="dxa"/>
            <w:tcBorders>
              <w:top w:val="single" w:sz="6" w:space="0" w:color="auto"/>
              <w:bottom w:val="doub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Twardość i wytrzymałość na ściskanie skały,</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z której wykonano tłuczeń</w:t>
            </w:r>
          </w:p>
        </w:tc>
        <w:tc>
          <w:tcPr>
            <w:tcW w:w="3329" w:type="dxa"/>
            <w:tcBorders>
              <w:top w:val="single" w:sz="6" w:space="0" w:color="auto"/>
              <w:left w:val="single" w:sz="6" w:space="0" w:color="auto"/>
              <w:bottom w:val="doub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Dopuszczalny nacisk kN/m</w:t>
            </w:r>
          </w:p>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szerokości tylnych kół walca</w:t>
            </w:r>
          </w:p>
        </w:tc>
      </w:tr>
      <w:tr w:rsidR="00B02595" w:rsidRPr="00974C6C">
        <w:tc>
          <w:tcPr>
            <w:tcW w:w="4181" w:type="dxa"/>
            <w:tcBorders>
              <w:top w:val="nil"/>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lastRenderedPageBreak/>
              <w:t>Miękka, od 30 do 60 MPa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Średniotwarda, od 60 do 100 MPa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Twarda, od 100 do 200 MPa</w:t>
            </w:r>
          </w:p>
          <w:p w:rsidR="00B02595" w:rsidRPr="005271B6" w:rsidRDefault="00B02595" w:rsidP="008D1227">
            <w:pPr>
              <w:overflowPunct w:val="0"/>
              <w:autoSpaceDE w:val="0"/>
              <w:autoSpaceDN w:val="0"/>
              <w:adjustRightInd w:val="0"/>
              <w:spacing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Bardzo twarda, ponad 200 MPa</w:t>
            </w:r>
          </w:p>
        </w:tc>
        <w:tc>
          <w:tcPr>
            <w:tcW w:w="3329" w:type="dxa"/>
            <w:tcBorders>
              <w:top w:val="nil"/>
              <w:left w:val="single" w:sz="6" w:space="0" w:color="auto"/>
              <w:bottom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 55 do 70</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 65 do 80</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 75 do 100</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od 90 do 120</w:t>
            </w:r>
          </w:p>
        </w:tc>
      </w:tr>
    </w:tbl>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Zagęszczanie można zakończyć, gdy przed kołami walca przestają się tworzyć fale, a ziarno tłucznia o wymiarze około 40 mm pod naciskiem koła walca nie wtłacza się w nawierzchnię, lecz miażdży się na niej.</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 zagęszczeniu warstwy kruszywa grubego należy zaklinować ją poprzez stopniowe rozsypywanie klińca od 4 do 20 mm i mieszanki drobnej granulowanej od 0,075 do 4 mm przy ciągłym zagęszczaniu walcem statycznym gładkim.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Warstwy dolnej (o ile układa się na niej od razu warstwę górną) nie klinuje się, gdyż niecałkowicie wypełnione przestrzenie między ziarnami tłucznia powodują lepsze związanie obu warstw ze sobą. Natomiast górną warstwę należy klinować tak  długo, dopóki wszystkie przestrzenie nie zostaną wypełnione klińcem.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 czasie zagęszczania walcem gładkim zaleca się skrapiać kruszywo wodą tak często, aby było stale wilgotne, co powoduje, że kruszywo mniej się kruszy, mniej wyokrągla i łatwiej układa szczelnie pod walcem.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Zagęszczenie można uważać za zakończone, jeśli nie pojawiają się ślady po walcach i wybrzuszenia warstwy kruszywa przed wałami.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Jeśli dokumentacja projektowa, SST lub Inżynier przewiduje zamulenie górnej warstwy nawierzchni, to należy rozsypać cienką warstwę miału (lub ew. piasku), obficie skropić go wodą i wcierać, w zaklinowaną warstwę tłucznia, wytworzoną papkę szczotkami z piasawy. W trakcie zamulania należy przepuścić kilka razy walec na szybkim biegu transportowym, aby papka została wessana w głąb warstwy. Wały walca należy obficie polewać wodą, w celu uniknięcia przyklejania do nich papki, ziarn klińca i tłucznia. Zamulanie jest zakończone, gdy papka przestanie przenikać w głąb warstwy.</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Jeśli nie wykonuje się zamulenia nawierzchni, to do klinowania kruszywa grubego należy dodawać również miał.</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 przypadku zagęszczania kruszywa sprzętem wibracyjnym (walcami wibracyjnymi o nacisku jednostkowym wału wibrującego co najmniej 18 kN/m lub płytowymi zagęszczarkami wibracyjnymi o nacisku jednostkowym co najmniej 16 kN/m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zagęszczenie należy przeprowadzać według zasad podanych dla walców gładkich, lecz bez skrapiania kruszywa wodą. Liczbę przejść sprzętu wibracyjnego zaleca się ustalić na odcinku próbnym.</w:t>
      </w:r>
    </w:p>
    <w:p w:rsidR="00B02595" w:rsidRPr="005271B6" w:rsidRDefault="00B02595" w:rsidP="008D1227">
      <w:pPr>
        <w:overflowPunct w:val="0"/>
        <w:autoSpaceDE w:val="0"/>
        <w:autoSpaceDN w:val="0"/>
        <w:adjustRightInd w:val="0"/>
        <w:spacing w:after="0" w:line="240" w:lineRule="auto"/>
        <w:ind w:firstLine="709"/>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W pierwszych dniach po wykonaniu nawierzchni należy dbać, aby była ona stale wilgotna. Nawierzchnia, jeśli nie była zagęszczana urządzeniami wibracyjnymi, powinna być równomiernie zajeżdżana (dogęszczona) przez samochody na całej jej szerokości w okresie od 2 do 6 tygodni, w związku z czym zaleca się przekładanie ruchu na różne pasy przez odpowiednie ustawianie zastaw.</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4" w:name="_6__kontrola_jakości_1"/>
      <w:bookmarkEnd w:id="34"/>
      <w:r w:rsidRPr="005271B6">
        <w:rPr>
          <w:rFonts w:ascii="Times New Roman" w:hAnsi="Times New Roman" w:cs="Times New Roman"/>
          <w:b/>
          <w:bCs/>
          <w:caps/>
          <w:kern w:val="28"/>
          <w:sz w:val="20"/>
          <w:szCs w:val="20"/>
          <w:lang w:eastAsia="pl-PL"/>
        </w:rPr>
        <w:t>6. kontrola jakości robót</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6.1. Ogólne zasady kontroli jakości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kontroli jakości robót podano w OST D-05.02.00 „Nawierzchnie twarde nieulepszone. Wymagania ogólne” pkt 6.</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6.2. Badania przed przystąpieniem do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Przed przystąpieniem do robót Wykonawca powinien wykonać badania kruszyw przeznaczonych do wykonania robót i przedstawić wyniki tych badań Inżynierowi do akceptacji. Badania te powinny obejmować wszystkie właściwości kruszywa określone w p. 2.3 niniejszej specyfikacji.</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6.3. Badania w czasie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 czasie robót przy budowie nawierzchni tłuczniowej należy kontrolować z częstotliwością podaną poniżej, następujące właściwości:</w:t>
      </w:r>
    </w:p>
    <w:p w:rsidR="00B02595" w:rsidRPr="005271B6" w:rsidRDefault="00B02595" w:rsidP="008D1227">
      <w:pPr>
        <w:numPr>
          <w:ilvl w:val="0"/>
          <w:numId w:val="16"/>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uziarnienie kruszywa, zawartość zanieczyszczeń obcych w kruszywie i zawartość ziarn nieforemnych w kruszywie - co najmniej 1 raz na dziennej działce roboczej z tym, że maksymalna powierzchnia nawierzchni przypadająca na jedno badanie powinna wynosić 600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w:t>
      </w:r>
    </w:p>
    <w:p w:rsidR="00B02595" w:rsidRPr="005271B6" w:rsidRDefault="00B02595" w:rsidP="008D1227">
      <w:pPr>
        <w:numPr>
          <w:ilvl w:val="0"/>
          <w:numId w:val="16"/>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ścieralność kruszywa, nasiąkliwość kruszywa, odporność kruszywa na działanie mrozu - przy każdej zmianie źródła pobierania materiałów.</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Próbki należy pobierać w sposób losowy z rozłożonej warstwy, przed jej zagęszczeniem. Wyniki badań powinny być na bieżąco przekazywane Inżynierowi.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 xml:space="preserve">Badania pełne kruszywa, obejmujące ocenę wszystkich właściwości określonych w p. 2.3 powinny być wykonane przez Wykonawcę z częstotliwością gwarantującą zachowanie jakości robót i zawsze w przypadku </w:t>
      </w:r>
      <w:r w:rsidRPr="005271B6">
        <w:rPr>
          <w:rFonts w:ascii="Times New Roman" w:hAnsi="Times New Roman" w:cs="Times New Roman"/>
          <w:sz w:val="20"/>
          <w:szCs w:val="20"/>
          <w:lang w:eastAsia="pl-PL"/>
        </w:rPr>
        <w:lastRenderedPageBreak/>
        <w:t>zmiany źródła pobierania materiałów oraz na polecenie Inżyniera. Próbki do badań pełnych powinny być pobierane przez Wykonawcę w sposób losowy w obecności Inżyniera.</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6.4. Badania i pomiary cech geometrycznych nawierzchni tłuczniowej</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Grubość warstwy Wykonawca powinien mierzyć natychmiast po jej zagęszczeniu, co najmniej w dwóch losowo wybranych punktach na każdej dziennej działce roboczej i nie rzadziej niż w jednym punkcie na 400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 xml:space="preserve">Dopuszczalne odchyłki od projektowanej grubości nawierzchni nie powinny przekraczać </w:t>
      </w:r>
      <w:r w:rsidRPr="005271B6">
        <w:rPr>
          <w:rFonts w:ascii="Times New Roman" w:hAnsi="Times New Roman" w:cs="Times New Roman"/>
          <w:sz w:val="20"/>
          <w:szCs w:val="20"/>
          <w:lang w:eastAsia="pl-PL"/>
        </w:rPr>
        <w:sym w:font="Symbol" w:char="F0B1"/>
      </w:r>
      <w:r w:rsidRPr="005271B6">
        <w:rPr>
          <w:rFonts w:ascii="Times New Roman" w:hAnsi="Times New Roman" w:cs="Times New Roman"/>
          <w:sz w:val="20"/>
          <w:szCs w:val="20"/>
          <w:lang w:eastAsia="pl-PL"/>
        </w:rPr>
        <w:t xml:space="preserve"> 10%.</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Pozostałe cechy geometryczne nawierzchni powinny być mierzone i oceniane według zasad podanych w p. 6.2 OST D-05.02.00 „Nawierzchnie twarde nieulepszone. Wymagania ogólne”.</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6.5. Pomiar nośności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Pomiary nośności nawierzchni tłuczniowej należy wykonać płytą o średnicy 30 cm, zgodnie z BN-64/8931-02 [23]. Pomiar należy wykonać nie rzadziej niż raz na 3000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lub według zaleceń Inżyniera.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Nawierzchnia tłuczniowa powinna spełniać wymagania dotyczące nośności podane w tablicy 5.</w:t>
      </w:r>
    </w:p>
    <w:p w:rsidR="00B02595" w:rsidRPr="005271B6" w:rsidRDefault="00B02595" w:rsidP="008D1227">
      <w:pPr>
        <w:overflowPunct w:val="0"/>
        <w:autoSpaceDE w:val="0"/>
        <w:autoSpaceDN w:val="0"/>
        <w:adjustRightInd w:val="0"/>
        <w:spacing w:before="120"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Tablica 5. Wymagana nośność nawierzchni tłuczniowej</w:t>
      </w:r>
    </w:p>
    <w:tbl>
      <w:tblPr>
        <w:tblW w:w="0" w:type="auto"/>
        <w:tblInd w:w="-68" w:type="dxa"/>
        <w:tblCellMar>
          <w:left w:w="70" w:type="dxa"/>
          <w:right w:w="70" w:type="dxa"/>
        </w:tblCellMar>
        <w:tblLook w:val="00A0"/>
      </w:tblPr>
      <w:tblGrid>
        <w:gridCol w:w="3472"/>
        <w:gridCol w:w="2019"/>
        <w:gridCol w:w="2019"/>
      </w:tblGrid>
      <w:tr w:rsidR="00B02595" w:rsidRPr="00974C6C">
        <w:tc>
          <w:tcPr>
            <w:tcW w:w="3472" w:type="dxa"/>
            <w:tcBorders>
              <w:top w:val="single" w:sz="6" w:space="0" w:color="auto"/>
              <w:left w:val="single" w:sz="6" w:space="0" w:color="auto"/>
              <w:bottom w:val="nil"/>
              <w:right w:val="nil"/>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Kategoria ruchu</w:t>
            </w:r>
          </w:p>
        </w:tc>
        <w:tc>
          <w:tcPr>
            <w:tcW w:w="4038" w:type="dxa"/>
            <w:gridSpan w:val="2"/>
            <w:tcBorders>
              <w:top w:val="sing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Minimalny moduł odkształcenia mierzony przy użyciu płyty o średnicy 30 cm,    MPa</w:t>
            </w:r>
          </w:p>
        </w:tc>
      </w:tr>
      <w:tr w:rsidR="00B02595" w:rsidRPr="00974C6C">
        <w:tc>
          <w:tcPr>
            <w:tcW w:w="3472" w:type="dxa"/>
            <w:tcBorders>
              <w:top w:val="nil"/>
              <w:left w:val="single" w:sz="6" w:space="0" w:color="auto"/>
              <w:bottom w:val="nil"/>
              <w:right w:val="nil"/>
            </w:tcBorders>
            <w:noWrap/>
          </w:tcPr>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tc>
        <w:tc>
          <w:tcPr>
            <w:tcW w:w="2019"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pierwotny</w:t>
            </w:r>
          </w:p>
        </w:tc>
        <w:tc>
          <w:tcPr>
            <w:tcW w:w="2019" w:type="dxa"/>
            <w:tcBorders>
              <w:top w:val="single" w:sz="6" w:space="0" w:color="auto"/>
              <w:left w:val="single" w:sz="6" w:space="0" w:color="auto"/>
              <w:bottom w:val="nil"/>
              <w:right w:val="single" w:sz="6" w:space="0" w:color="auto"/>
            </w:tcBorders>
            <w:noWrap/>
          </w:tcPr>
          <w:p w:rsidR="00B02595" w:rsidRPr="005271B6" w:rsidRDefault="00B02595" w:rsidP="008D1227">
            <w:pPr>
              <w:overflowPunct w:val="0"/>
              <w:autoSpaceDE w:val="0"/>
              <w:autoSpaceDN w:val="0"/>
              <w:adjustRightInd w:val="0"/>
              <w:spacing w:after="6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wtórny</w:t>
            </w:r>
          </w:p>
        </w:tc>
      </w:tr>
      <w:tr w:rsidR="00B02595" w:rsidRPr="00974C6C">
        <w:tc>
          <w:tcPr>
            <w:tcW w:w="3472" w:type="dxa"/>
            <w:tcBorders>
              <w:top w:val="doub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Ruch bardzo lekki i lekki</w:t>
            </w:r>
          </w:p>
          <w:p w:rsidR="00B02595" w:rsidRPr="005271B6" w:rsidRDefault="00B02595" w:rsidP="008D1227">
            <w:pPr>
              <w:overflowPunct w:val="0"/>
              <w:autoSpaceDE w:val="0"/>
              <w:autoSpaceDN w:val="0"/>
              <w:adjustRightInd w:val="0"/>
              <w:spacing w:after="6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Ruch lekkośredni i średni</w:t>
            </w:r>
          </w:p>
        </w:tc>
        <w:tc>
          <w:tcPr>
            <w:tcW w:w="2019" w:type="dxa"/>
            <w:tcBorders>
              <w:top w:val="doub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100</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100</w:t>
            </w:r>
          </w:p>
        </w:tc>
        <w:tc>
          <w:tcPr>
            <w:tcW w:w="2019" w:type="dxa"/>
            <w:tcBorders>
              <w:top w:val="double" w:sz="6" w:space="0" w:color="auto"/>
              <w:left w:val="single" w:sz="6" w:space="0" w:color="auto"/>
              <w:bottom w:val="single" w:sz="6" w:space="0" w:color="auto"/>
              <w:right w:val="single" w:sz="6" w:space="0" w:color="auto"/>
            </w:tcBorders>
            <w:noWrap/>
          </w:tcPr>
          <w:p w:rsidR="00B02595" w:rsidRPr="005271B6" w:rsidRDefault="00B02595" w:rsidP="008D1227">
            <w:pPr>
              <w:overflowPunct w:val="0"/>
              <w:autoSpaceDE w:val="0"/>
              <w:autoSpaceDN w:val="0"/>
              <w:adjustRightInd w:val="0"/>
              <w:spacing w:before="60"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140</w:t>
            </w:r>
          </w:p>
          <w:p w:rsidR="00B02595" w:rsidRPr="005271B6" w:rsidRDefault="00B02595" w:rsidP="008D1227">
            <w:pPr>
              <w:overflowPunct w:val="0"/>
              <w:autoSpaceDE w:val="0"/>
              <w:autoSpaceDN w:val="0"/>
              <w:adjustRightInd w:val="0"/>
              <w:spacing w:after="0" w:line="240" w:lineRule="auto"/>
              <w:jc w:val="center"/>
              <w:rPr>
                <w:rFonts w:ascii="Times New Roman" w:hAnsi="Times New Roman" w:cs="Times New Roman"/>
                <w:sz w:val="20"/>
                <w:szCs w:val="20"/>
                <w:lang w:eastAsia="pl-PL"/>
              </w:rPr>
            </w:pPr>
            <w:r w:rsidRPr="005271B6">
              <w:rPr>
                <w:rFonts w:ascii="Times New Roman" w:hAnsi="Times New Roman" w:cs="Times New Roman"/>
                <w:sz w:val="20"/>
                <w:szCs w:val="20"/>
                <w:lang w:eastAsia="pl-PL"/>
              </w:rPr>
              <w:t>170</w:t>
            </w:r>
          </w:p>
        </w:tc>
      </w:tr>
    </w:tbl>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Zagęszczenie nawierzchni tłuczniowej należy uznać za prawidłowe wtedy, gdy stosunek wtórnego modułu odkształcenia do pierwotnego modułu odkształcenia, mierzonych przy użyciu płyty o średnicy 30 cm, jest nie większy od 2,2 (</w:t>
      </w:r>
      <w:r w:rsidR="00CB5363" w:rsidRPr="00CB5363">
        <w:rPr>
          <w:rFonts w:ascii="Times New Roman" w:hAnsi="Times New Roman" w:cs="Times New Roman"/>
          <w:noProof/>
          <w:sz w:val="20"/>
          <w:szCs w:val="20"/>
          <w:vertAlign w:val="subscript"/>
          <w:lang w:eastAsia="pl-PL"/>
        </w:rPr>
        <w:pict>
          <v:shape id="Obraz 2" o:spid="_x0000_i1026" type="#_x0000_t75" style="width:71.35pt;height:17.65pt;visibility:visible">
            <v:imagedata r:id="rId6" o:title=""/>
          </v:shape>
        </w:pict>
      </w:r>
      <w:r w:rsidRPr="005271B6">
        <w:rPr>
          <w:rFonts w:ascii="Times New Roman" w:hAnsi="Times New Roman" w:cs="Times New Roman"/>
          <w:sz w:val="20"/>
          <w:szCs w:val="20"/>
          <w:lang w:eastAsia="pl-PL"/>
        </w:rPr>
        <w:t>).</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6.6. Zasady postępowania z wadliwie wykonanymi odcinkami nawierzchni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6.6.1. </w:t>
      </w:r>
      <w:r w:rsidRPr="005271B6">
        <w:rPr>
          <w:rFonts w:ascii="Times New Roman" w:hAnsi="Times New Roman" w:cs="Times New Roman"/>
          <w:sz w:val="20"/>
          <w:szCs w:val="20"/>
          <w:lang w:eastAsia="pl-PL"/>
        </w:rPr>
        <w:t>Niewłaściwe uziarnienie i właściwości kruszywa</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Wszystkie kruszywa nie spełniające wymagań podanych w odpowiednich punktach specyfikacji zostaną odrzucone. Jeżeli kruszywa, nie spełniające wymagań zostaną wbudowane, to na polecenie Inżyniera, Wykonawca wymieni je na właściwe, na własny koszt.</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6.6.2. </w:t>
      </w:r>
      <w:r w:rsidRPr="005271B6">
        <w:rPr>
          <w:rFonts w:ascii="Times New Roman" w:hAnsi="Times New Roman" w:cs="Times New Roman"/>
          <w:sz w:val="20"/>
          <w:szCs w:val="20"/>
          <w:lang w:eastAsia="pl-PL"/>
        </w:rPr>
        <w:t>Niewłaściwe cechy geometryczne nawierzchni</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Wszystkie powierzchnie nawierzchni, które wykazują większe odchylenia cech geometrycznych od określonych w punkcie 6.3.2 powinny być naprawione przez spulchnienie lub zerwanie na całą grubość warstwy, wyrównane i powtórnie zagęszczone. Dodanie nowego materiału bez spulchnienia wykonanej warstwy jest niedopuszczalne.</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Roboty te Wykonawca wykona na własny koszt. Po ich wykonaniu nastąpi ponowny pomiar i ocena.</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b/>
          <w:bCs/>
          <w:sz w:val="20"/>
          <w:szCs w:val="20"/>
          <w:lang w:eastAsia="pl-PL"/>
        </w:rPr>
        <w:t xml:space="preserve">6.6.3. </w:t>
      </w:r>
      <w:r w:rsidRPr="005271B6">
        <w:rPr>
          <w:rFonts w:ascii="Times New Roman" w:hAnsi="Times New Roman" w:cs="Times New Roman"/>
          <w:sz w:val="20"/>
          <w:szCs w:val="20"/>
          <w:lang w:eastAsia="pl-PL"/>
        </w:rPr>
        <w:t>Niewłaściwa nośność nawierzchni</w:t>
      </w:r>
    </w:p>
    <w:p w:rsidR="00B02595" w:rsidRPr="005271B6" w:rsidRDefault="00B02595" w:rsidP="008D1227">
      <w:pPr>
        <w:overflowPunct w:val="0"/>
        <w:autoSpaceDE w:val="0"/>
        <w:autoSpaceDN w:val="0"/>
        <w:adjustRightInd w:val="0"/>
        <w:spacing w:before="120"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Jeżeli nośność nawierzchni będzie mniejsza od wymaganej, to Wykonawca wykona wszelkie roboty niezbędne do zapewnienia wymaganej nośności, zalecone przez Inżyniera.</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Koszty tych dodatkowych robót poniesie Wykonawca tylko wtedy, gdy zaniżenie nośności nawierzchni wynikło z niewłaściwego wykonania przez Wykonawcę robót.</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5" w:name="_7__obmiar_robót_1"/>
      <w:bookmarkEnd w:id="35"/>
      <w:r w:rsidRPr="005271B6">
        <w:rPr>
          <w:rFonts w:ascii="Times New Roman" w:hAnsi="Times New Roman" w:cs="Times New Roman"/>
          <w:b/>
          <w:bCs/>
          <w:caps/>
          <w:kern w:val="28"/>
          <w:sz w:val="20"/>
          <w:szCs w:val="20"/>
          <w:lang w:eastAsia="pl-PL"/>
        </w:rPr>
        <w:t>7. obmiar robót</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7.1. Ogólne zasady obmiaru robót</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obmiaru robót podano w OST D-05.02.00 „Nawierzchnie twarde nieulepszone. Wymagania ogólne” pkt 7.</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7.2. Jednostka obmiarowa</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Jednostką obmiarową jest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(metr kwadratowy).</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6" w:name="_8__odbiór_robót_1"/>
      <w:bookmarkEnd w:id="36"/>
      <w:r w:rsidRPr="005271B6">
        <w:rPr>
          <w:rFonts w:ascii="Times New Roman" w:hAnsi="Times New Roman" w:cs="Times New Roman"/>
          <w:b/>
          <w:bCs/>
          <w:caps/>
          <w:kern w:val="28"/>
          <w:sz w:val="20"/>
          <w:szCs w:val="20"/>
          <w:lang w:eastAsia="pl-PL"/>
        </w:rPr>
        <w:t>8. odbiór robót</w:t>
      </w:r>
    </w:p>
    <w:p w:rsidR="00B02595" w:rsidRPr="005271B6" w:rsidRDefault="00B02595" w:rsidP="008D1227">
      <w:pPr>
        <w:overflowPunct w:val="0"/>
        <w:autoSpaceDE w:val="0"/>
        <w:autoSpaceDN w:val="0"/>
        <w:adjustRightInd w:val="0"/>
        <w:spacing w:after="12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zasady odbioru robót podano w OST D-05.02.00 „Nawierzchnie twarde nieulepszone. Wymagania ogólne” pkt 8.</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7" w:name="_9__podstawa_płatności_1"/>
      <w:bookmarkEnd w:id="37"/>
      <w:r w:rsidRPr="005271B6">
        <w:rPr>
          <w:rFonts w:ascii="Times New Roman" w:hAnsi="Times New Roman" w:cs="Times New Roman"/>
          <w:b/>
          <w:bCs/>
          <w:caps/>
          <w:kern w:val="28"/>
          <w:sz w:val="20"/>
          <w:szCs w:val="20"/>
          <w:lang w:eastAsia="pl-PL"/>
        </w:rPr>
        <w:lastRenderedPageBreak/>
        <w:t>9. podstawa płatności</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9.1. Ogólne ustalenia dotyczące podstawy płatności</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Ogólne ustalenia dotyczące podstawy płatności podano w OST D-05.02.00 „Nawierzchnie twarde nieulepszone. Wymagania ogólne” pkt 9.</w:t>
      </w:r>
    </w:p>
    <w:p w:rsidR="00B02595" w:rsidRPr="005271B6" w:rsidRDefault="00B02595" w:rsidP="008D1227">
      <w:pPr>
        <w:keepNext/>
        <w:overflowPunct w:val="0"/>
        <w:autoSpaceDE w:val="0"/>
        <w:autoSpaceDN w:val="0"/>
        <w:adjustRightInd w:val="0"/>
        <w:spacing w:before="120" w:after="120" w:line="240" w:lineRule="auto"/>
        <w:jc w:val="both"/>
        <w:outlineLvl w:val="1"/>
        <w:rPr>
          <w:rFonts w:ascii="Times New Roman" w:hAnsi="Times New Roman" w:cs="Times New Roman"/>
          <w:b/>
          <w:bCs/>
          <w:sz w:val="20"/>
          <w:szCs w:val="20"/>
          <w:lang w:eastAsia="pl-PL"/>
        </w:rPr>
      </w:pPr>
      <w:r w:rsidRPr="005271B6">
        <w:rPr>
          <w:rFonts w:ascii="Times New Roman" w:hAnsi="Times New Roman" w:cs="Times New Roman"/>
          <w:b/>
          <w:bCs/>
          <w:sz w:val="20"/>
          <w:szCs w:val="20"/>
          <w:lang w:eastAsia="pl-PL"/>
        </w:rPr>
        <w:t>9.2. Cena jednostki obmiarowej</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Cena 1 m</w:t>
      </w:r>
      <w:r w:rsidRPr="005271B6">
        <w:rPr>
          <w:rFonts w:ascii="Times New Roman" w:hAnsi="Times New Roman" w:cs="Times New Roman"/>
          <w:sz w:val="20"/>
          <w:szCs w:val="20"/>
          <w:vertAlign w:val="superscript"/>
          <w:lang w:eastAsia="pl-PL"/>
        </w:rPr>
        <w:t>2</w:t>
      </w:r>
      <w:r w:rsidRPr="005271B6">
        <w:rPr>
          <w:rFonts w:ascii="Times New Roman" w:hAnsi="Times New Roman" w:cs="Times New Roman"/>
          <w:sz w:val="20"/>
          <w:szCs w:val="20"/>
          <w:lang w:eastAsia="pl-PL"/>
        </w:rPr>
        <w:t xml:space="preserve"> nawierzchni tłuczniowej obejmuje:</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prace pomiarowe i oznakowanie robót,</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dostarczenie materiałów na miejsce wbudowania,</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rozłożenie warstwy kruszywa grubego (tłucznia, klińca),</w:t>
      </w:r>
    </w:p>
    <w:p w:rsidR="00B02595" w:rsidRPr="005271B6" w:rsidRDefault="00B02595" w:rsidP="008D1227">
      <w:pPr>
        <w:numPr>
          <w:ilvl w:val="0"/>
          <w:numId w:val="2"/>
        </w:num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zaklinowanie warstwy kruszywa grubego, skropienie wodą i zagęszczenie</w:t>
      </w:r>
    </w:p>
    <w:p w:rsidR="00B02595" w:rsidRPr="005271B6" w:rsidRDefault="00B02595" w:rsidP="008D1227">
      <w:pPr>
        <w:numPr>
          <w:ilvl w:val="0"/>
          <w:numId w:val="2"/>
        </w:numPr>
        <w:overflowPunct w:val="0"/>
        <w:autoSpaceDE w:val="0"/>
        <w:autoSpaceDN w:val="0"/>
        <w:adjustRightInd w:val="0"/>
        <w:spacing w:after="120" w:line="240" w:lineRule="auto"/>
        <w:ind w:left="284" w:hanging="284"/>
        <w:jc w:val="both"/>
        <w:rPr>
          <w:rFonts w:ascii="Times New Roman" w:hAnsi="Times New Roman" w:cs="Times New Roman"/>
          <w:sz w:val="20"/>
          <w:szCs w:val="20"/>
          <w:lang w:eastAsia="pl-PL"/>
        </w:rPr>
      </w:pPr>
      <w:r w:rsidRPr="005271B6">
        <w:rPr>
          <w:rFonts w:ascii="Times New Roman" w:hAnsi="Times New Roman" w:cs="Times New Roman"/>
          <w:sz w:val="14"/>
          <w:szCs w:val="14"/>
          <w:lang w:eastAsia="pl-PL"/>
        </w:rPr>
        <w:t xml:space="preserve">      </w:t>
      </w:r>
      <w:r w:rsidRPr="005271B6">
        <w:rPr>
          <w:rFonts w:ascii="Times New Roman" w:hAnsi="Times New Roman" w:cs="Times New Roman"/>
          <w:sz w:val="20"/>
          <w:szCs w:val="20"/>
          <w:lang w:eastAsia="pl-PL"/>
        </w:rPr>
        <w:t>przeprowadzenie pomiarów i badań laboratoryjnych wymaganych w specyfikacji technicznej.</w:t>
      </w:r>
    </w:p>
    <w:p w:rsidR="00B02595" w:rsidRPr="005271B6" w:rsidRDefault="00B02595" w:rsidP="008D1227">
      <w:pPr>
        <w:keepNext/>
        <w:keepLines/>
        <w:suppressAutoHyphens/>
        <w:overflowPunct w:val="0"/>
        <w:autoSpaceDE w:val="0"/>
        <w:autoSpaceDN w:val="0"/>
        <w:adjustRightInd w:val="0"/>
        <w:spacing w:before="120" w:after="120" w:line="240" w:lineRule="auto"/>
        <w:jc w:val="both"/>
        <w:outlineLvl w:val="0"/>
        <w:rPr>
          <w:rFonts w:ascii="Times New Roman" w:hAnsi="Times New Roman" w:cs="Times New Roman"/>
          <w:b/>
          <w:bCs/>
          <w:caps/>
          <w:kern w:val="28"/>
          <w:sz w:val="20"/>
          <w:szCs w:val="20"/>
          <w:lang w:eastAsia="pl-PL"/>
        </w:rPr>
      </w:pPr>
      <w:bookmarkStart w:id="38" w:name="_10__Przepisy_związane_1"/>
      <w:bookmarkEnd w:id="38"/>
      <w:r w:rsidRPr="005271B6">
        <w:rPr>
          <w:rFonts w:ascii="Times New Roman" w:hAnsi="Times New Roman" w:cs="Times New Roman"/>
          <w:b/>
          <w:bCs/>
          <w:caps/>
          <w:kern w:val="28"/>
          <w:sz w:val="20"/>
          <w:szCs w:val="20"/>
          <w:lang w:eastAsia="pl-PL"/>
        </w:rPr>
        <w:t>10. Przepisy związane</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ab/>
        <w:t>Przepisy związane podano w OST D-05.02.00 „Nawierzchnie twarde nieulepszone. Wymagania ogólne” pkt 10.</w:t>
      </w:r>
    </w:p>
    <w:p w:rsidR="00B02595" w:rsidRPr="003C1B17"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3C1B17">
        <w:rPr>
          <w:rFonts w:ascii="Times New Roman" w:hAnsi="Times New Roman" w:cs="Times New Roman"/>
          <w:sz w:val="20"/>
          <w:szCs w:val="20"/>
          <w:lang w:eastAsia="pl-PL"/>
        </w:rPr>
        <w:t> </w:t>
      </w:r>
    </w:p>
    <w:p w:rsidR="00B02595" w:rsidRPr="003C1B17" w:rsidRDefault="00B02595" w:rsidP="003C1B17">
      <w:pPr>
        <w:pStyle w:val="Zwykytekst"/>
        <w:rPr>
          <w:rFonts w:ascii="Times New Roman" w:hAnsi="Times New Roman" w:cs="Times New Roman"/>
        </w:rPr>
      </w:pPr>
      <w:r w:rsidRPr="003C1B17">
        <w:rPr>
          <w:rFonts w:ascii="Times New Roman" w:hAnsi="Times New Roman" w:cs="Times New Roman"/>
        </w:rPr>
        <w:t>Uwaga:</w:t>
      </w:r>
    </w:p>
    <w:p w:rsidR="00B02595" w:rsidRPr="003C1B17" w:rsidRDefault="00B02595" w:rsidP="003C1B1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3C1B17">
        <w:rPr>
          <w:sz w:val="20"/>
          <w:szCs w:val="20"/>
        </w:rPr>
        <w:t>Wykonawca robót zobowiązany jest do przestrzegania aktualnie obowiązujących norm.</w:t>
      </w:r>
    </w:p>
    <w:p w:rsidR="00B02595" w:rsidRPr="005271B6" w:rsidRDefault="00B02595" w:rsidP="008D1227">
      <w:pPr>
        <w:overflowPunct w:val="0"/>
        <w:autoSpaceDE w:val="0"/>
        <w:autoSpaceDN w:val="0"/>
        <w:adjustRightInd w:val="0"/>
        <w:spacing w:after="0" w:line="240" w:lineRule="auto"/>
        <w:jc w:val="both"/>
        <w:rPr>
          <w:rFonts w:ascii="Times New Roman" w:hAnsi="Times New Roman" w:cs="Times New Roman"/>
          <w:sz w:val="20"/>
          <w:szCs w:val="20"/>
          <w:lang w:eastAsia="pl-PL"/>
        </w:rPr>
      </w:pPr>
      <w:r w:rsidRPr="005271B6">
        <w:rPr>
          <w:rFonts w:ascii="Times New Roman" w:hAnsi="Times New Roman" w:cs="Times New Roman"/>
          <w:sz w:val="20"/>
          <w:szCs w:val="20"/>
          <w:lang w:eastAsia="pl-PL"/>
        </w:rPr>
        <w:t> </w:t>
      </w:r>
    </w:p>
    <w:sectPr w:rsidR="00B02595" w:rsidRPr="005271B6" w:rsidSect="00C359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BACB1DE"/>
    <w:lvl w:ilvl="0">
      <w:numFmt w:val="decimal"/>
      <w:lvlText w:val="*"/>
      <w:lvlJc w:val="left"/>
    </w:lvl>
  </w:abstractNum>
  <w:abstractNum w:abstractNumId="1">
    <w:nsid w:val="07060F71"/>
    <w:multiLevelType w:val="singleLevel"/>
    <w:tmpl w:val="160E7754"/>
    <w:lvl w:ilvl="0">
      <w:start w:val="2"/>
      <w:numFmt w:val="lowerLetter"/>
      <w:lvlText w:val="%1)"/>
      <w:legacy w:legacy="1" w:legacySpace="0" w:legacyIndent="283"/>
      <w:lvlJc w:val="left"/>
      <w:pPr>
        <w:ind w:left="283" w:hanging="283"/>
      </w:pPr>
    </w:lvl>
  </w:abstractNum>
  <w:abstractNum w:abstractNumId="2">
    <w:nsid w:val="07450A6A"/>
    <w:multiLevelType w:val="hybridMultilevel"/>
    <w:tmpl w:val="6BC8397C"/>
    <w:lvl w:ilvl="0" w:tplc="DDCC9D98">
      <w:start w:val="1"/>
      <w:numFmt w:val="lowerLetter"/>
      <w:lvlText w:val="%1)"/>
      <w:lvlJc w:val="left"/>
      <w:pPr>
        <w:tabs>
          <w:tab w:val="num" w:pos="720"/>
        </w:tabs>
        <w:ind w:left="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E05175C"/>
    <w:multiLevelType w:val="singleLevel"/>
    <w:tmpl w:val="C818F434"/>
    <w:lvl w:ilvl="0">
      <w:start w:val="8"/>
      <w:numFmt w:val="decimal"/>
      <w:lvlText w:val="%1."/>
      <w:legacy w:legacy="1" w:legacySpace="0" w:legacyIndent="283"/>
      <w:lvlJc w:val="left"/>
      <w:pPr>
        <w:ind w:left="283" w:hanging="283"/>
      </w:pPr>
    </w:lvl>
  </w:abstractNum>
  <w:abstractNum w:abstractNumId="4">
    <w:nsid w:val="0F317B62"/>
    <w:multiLevelType w:val="singleLevel"/>
    <w:tmpl w:val="527850AA"/>
    <w:lvl w:ilvl="0">
      <w:start w:val="1"/>
      <w:numFmt w:val="lowerLetter"/>
      <w:lvlText w:val="%1)"/>
      <w:legacy w:legacy="1" w:legacySpace="0" w:legacyIndent="283"/>
      <w:lvlJc w:val="left"/>
      <w:pPr>
        <w:ind w:left="283" w:hanging="283"/>
      </w:pPr>
    </w:lvl>
  </w:abstractNum>
  <w:abstractNum w:abstractNumId="5">
    <w:nsid w:val="0F5C7360"/>
    <w:multiLevelType w:val="singleLevel"/>
    <w:tmpl w:val="160E7754"/>
    <w:lvl w:ilvl="0">
      <w:start w:val="2"/>
      <w:numFmt w:val="lowerLetter"/>
      <w:lvlText w:val="%1)"/>
      <w:legacy w:legacy="1" w:legacySpace="0" w:legacyIndent="283"/>
      <w:lvlJc w:val="left"/>
      <w:pPr>
        <w:ind w:left="283" w:hanging="283"/>
      </w:pPr>
    </w:lvl>
  </w:abstractNum>
  <w:abstractNum w:abstractNumId="6">
    <w:nsid w:val="194822E7"/>
    <w:multiLevelType w:val="singleLevel"/>
    <w:tmpl w:val="527850AA"/>
    <w:lvl w:ilvl="0">
      <w:start w:val="1"/>
      <w:numFmt w:val="lowerLetter"/>
      <w:lvlText w:val="%1)"/>
      <w:legacy w:legacy="1" w:legacySpace="0" w:legacyIndent="283"/>
      <w:lvlJc w:val="left"/>
      <w:pPr>
        <w:ind w:left="283" w:hanging="283"/>
      </w:pPr>
    </w:lvl>
  </w:abstractNum>
  <w:abstractNum w:abstractNumId="7">
    <w:nsid w:val="285F70C9"/>
    <w:multiLevelType w:val="singleLevel"/>
    <w:tmpl w:val="527850AA"/>
    <w:lvl w:ilvl="0">
      <w:start w:val="1"/>
      <w:numFmt w:val="lowerLetter"/>
      <w:lvlText w:val="%1)"/>
      <w:legacy w:legacy="1" w:legacySpace="0" w:legacyIndent="283"/>
      <w:lvlJc w:val="left"/>
      <w:pPr>
        <w:ind w:left="283" w:hanging="283"/>
      </w:pPr>
    </w:lvl>
  </w:abstractNum>
  <w:abstractNum w:abstractNumId="8">
    <w:nsid w:val="3DE423BA"/>
    <w:multiLevelType w:val="singleLevel"/>
    <w:tmpl w:val="82208C76"/>
    <w:lvl w:ilvl="0">
      <w:start w:val="7"/>
      <w:numFmt w:val="decimal"/>
      <w:lvlText w:val="%1."/>
      <w:legacy w:legacy="1" w:legacySpace="0" w:legacyIndent="283"/>
      <w:lvlJc w:val="left"/>
      <w:pPr>
        <w:ind w:left="283" w:hanging="283"/>
      </w:pPr>
    </w:lvl>
  </w:abstractNum>
  <w:abstractNum w:abstractNumId="9">
    <w:nsid w:val="4C7E42B9"/>
    <w:multiLevelType w:val="singleLevel"/>
    <w:tmpl w:val="527850AA"/>
    <w:lvl w:ilvl="0">
      <w:start w:val="1"/>
      <w:numFmt w:val="lowerLetter"/>
      <w:lvlText w:val="%1)"/>
      <w:legacy w:legacy="1" w:legacySpace="0" w:legacyIndent="283"/>
      <w:lvlJc w:val="left"/>
      <w:pPr>
        <w:ind w:left="283" w:hanging="283"/>
      </w:pPr>
    </w:lvl>
  </w:abstractNum>
  <w:abstractNum w:abstractNumId="10">
    <w:nsid w:val="501A371E"/>
    <w:multiLevelType w:val="singleLevel"/>
    <w:tmpl w:val="527850AA"/>
    <w:lvl w:ilvl="0">
      <w:start w:val="1"/>
      <w:numFmt w:val="lowerLetter"/>
      <w:lvlText w:val="%1)"/>
      <w:legacy w:legacy="1" w:legacySpace="0" w:legacyIndent="283"/>
      <w:lvlJc w:val="left"/>
      <w:pPr>
        <w:ind w:left="283" w:hanging="283"/>
      </w:pPr>
    </w:lvl>
  </w:abstractNum>
  <w:abstractNum w:abstractNumId="11">
    <w:nsid w:val="521120D0"/>
    <w:multiLevelType w:val="singleLevel"/>
    <w:tmpl w:val="E64808F2"/>
    <w:lvl w:ilvl="0">
      <w:start w:val="1"/>
      <w:numFmt w:val="decimal"/>
      <w:lvlText w:val="%1."/>
      <w:legacy w:legacy="1" w:legacySpace="0" w:legacyIndent="283"/>
      <w:lvlJc w:val="left"/>
      <w:pPr>
        <w:ind w:left="283" w:hanging="283"/>
      </w:pPr>
    </w:lvl>
  </w:abstractNum>
  <w:abstractNum w:abstractNumId="12">
    <w:nsid w:val="568C71A7"/>
    <w:multiLevelType w:val="singleLevel"/>
    <w:tmpl w:val="527850AA"/>
    <w:lvl w:ilvl="0">
      <w:start w:val="1"/>
      <w:numFmt w:val="lowerLetter"/>
      <w:lvlText w:val="%1)"/>
      <w:legacy w:legacy="1" w:legacySpace="0" w:legacyIndent="283"/>
      <w:lvlJc w:val="left"/>
      <w:pPr>
        <w:ind w:left="283" w:hanging="283"/>
      </w:pPr>
    </w:lvl>
  </w:abstractNum>
  <w:abstractNum w:abstractNumId="13">
    <w:nsid w:val="60667073"/>
    <w:multiLevelType w:val="singleLevel"/>
    <w:tmpl w:val="527850AA"/>
    <w:lvl w:ilvl="0">
      <w:start w:val="1"/>
      <w:numFmt w:val="lowerLetter"/>
      <w:lvlText w:val="%1)"/>
      <w:legacy w:legacy="1" w:legacySpace="0" w:legacyIndent="283"/>
      <w:lvlJc w:val="left"/>
      <w:pPr>
        <w:ind w:left="283" w:hanging="283"/>
      </w:pPr>
    </w:lvl>
  </w:abstractNum>
  <w:abstractNum w:abstractNumId="14">
    <w:nsid w:val="65C8010D"/>
    <w:multiLevelType w:val="singleLevel"/>
    <w:tmpl w:val="527850AA"/>
    <w:lvl w:ilvl="0">
      <w:start w:val="1"/>
      <w:numFmt w:val="lowerLetter"/>
      <w:lvlText w:val="%1)"/>
      <w:legacy w:legacy="1" w:legacySpace="0" w:legacyIndent="283"/>
      <w:lvlJc w:val="left"/>
      <w:pPr>
        <w:ind w:left="283" w:hanging="283"/>
      </w:pPr>
    </w:lvl>
  </w:abstractNum>
  <w:abstractNum w:abstractNumId="15">
    <w:nsid w:val="699536AE"/>
    <w:multiLevelType w:val="singleLevel"/>
    <w:tmpl w:val="527850AA"/>
    <w:lvl w:ilvl="0">
      <w:start w:val="1"/>
      <w:numFmt w:val="lowerLetter"/>
      <w:lvlText w:val="%1)"/>
      <w:legacy w:legacy="1" w:legacySpace="0" w:legacyIndent="283"/>
      <w:lvlJc w:val="left"/>
      <w:pPr>
        <w:ind w:left="283" w:hanging="283"/>
      </w:pPr>
    </w:lvl>
  </w:abstractNum>
  <w:abstractNum w:abstractNumId="16">
    <w:nsid w:val="7AB25A2B"/>
    <w:multiLevelType w:val="singleLevel"/>
    <w:tmpl w:val="E64808F2"/>
    <w:lvl w:ilvl="0">
      <w:start w:val="1"/>
      <w:numFmt w:val="decimal"/>
      <w:lvlText w:val="%1."/>
      <w:legacy w:legacy="1" w:legacySpace="0" w:legacyIndent="283"/>
      <w:lvlJc w:val="left"/>
      <w:pPr>
        <w:ind w:left="283" w:hanging="283"/>
      </w:pPr>
    </w:lvl>
  </w:abstractNum>
  <w:abstractNum w:abstractNumId="17">
    <w:nsid w:val="7ED927BE"/>
    <w:multiLevelType w:val="singleLevel"/>
    <w:tmpl w:val="160E7754"/>
    <w:lvl w:ilvl="0">
      <w:start w:val="2"/>
      <w:numFmt w:val="lowerLetter"/>
      <w:lvlText w:val="%1)"/>
      <w:legacy w:legacy="1" w:legacySpace="0" w:legacyIndent="283"/>
      <w:lvlJc w:val="left"/>
      <w:pPr>
        <w:ind w:left="283" w:hanging="283"/>
      </w:pPr>
    </w:lvl>
  </w:abstractNum>
  <w:num w:numId="1">
    <w:abstractNumId w:val="0"/>
  </w:num>
  <w:num w:numId="2">
    <w:abstractNumId w:val="0"/>
    <w:lvlOverride w:ilvl="0">
      <w:lvl w:ilvl="0">
        <w:numFmt w:val="bullet"/>
        <w:lvlText w:val=""/>
        <w:legacy w:legacy="1" w:legacySpace="0" w:legacyIndent="283"/>
        <w:lvlJc w:val="left"/>
        <w:pPr>
          <w:ind w:left="283" w:hanging="283"/>
        </w:pPr>
        <w:rPr>
          <w:rFonts w:ascii="Symbol" w:hAnsi="Symbol" w:cs="Symbol" w:hint="default"/>
          <w:sz w:val="20"/>
          <w:szCs w:val="20"/>
        </w:rPr>
      </w:lvl>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2"/>
    </w:lvlOverride>
  </w:num>
  <w:num w:numId="7">
    <w:abstractNumId w:val="7"/>
  </w:num>
  <w:num w:numId="8">
    <w:abstractNumId w:val="7"/>
    <w:lvlOverride w:ilvl="0">
      <w:startOverride w:val="1"/>
    </w:lvlOverride>
  </w:num>
  <w:num w:numId="9">
    <w:abstractNumId w:val="4"/>
  </w:num>
  <w:num w:numId="10">
    <w:abstractNumId w:val="4"/>
    <w:lvlOverride w:ilvl="0">
      <w:startOverride w:val="1"/>
    </w:lvlOverride>
  </w:num>
  <w:num w:numId="11">
    <w:abstractNumId w:val="13"/>
  </w:num>
  <w:num w:numId="12">
    <w:abstractNumId w:val="13"/>
    <w:lvlOverride w:ilvl="0">
      <w:startOverride w:val="1"/>
    </w:lvlOverride>
  </w:num>
  <w:num w:numId="13">
    <w:abstractNumId w:val="1"/>
  </w:num>
  <w:num w:numId="14">
    <w:abstractNumId w:val="1"/>
    <w:lvlOverride w:ilvl="0">
      <w:startOverride w:val="2"/>
    </w:lvlOverride>
  </w:num>
  <w:num w:numId="15">
    <w:abstractNumId w:val="14"/>
  </w:num>
  <w:num w:numId="16">
    <w:abstractNumId w:val="14"/>
    <w:lvlOverride w:ilvl="0">
      <w:startOverride w:val="1"/>
    </w:lvlOverride>
  </w:num>
  <w:num w:numId="17">
    <w:abstractNumId w:val="17"/>
  </w:num>
  <w:num w:numId="18">
    <w:abstractNumId w:val="17"/>
    <w:lvlOverride w:ilvl="0">
      <w:startOverride w:val="2"/>
    </w:lvlOverride>
  </w:num>
  <w:num w:numId="19">
    <w:abstractNumId w:val="15"/>
  </w:num>
  <w:num w:numId="20">
    <w:abstractNumId w:val="15"/>
    <w:lvlOverride w:ilvl="0">
      <w:startOverride w:val="1"/>
    </w:lvlOverride>
  </w:num>
  <w:num w:numId="21">
    <w:abstractNumId w:val="6"/>
  </w:num>
  <w:num w:numId="22">
    <w:abstractNumId w:val="6"/>
    <w:lvlOverride w:ilvl="0">
      <w:startOverride w:val="1"/>
    </w:lvlOverride>
  </w:num>
  <w:num w:numId="23">
    <w:abstractNumId w:val="9"/>
  </w:num>
  <w:num w:numId="24">
    <w:abstractNumId w:val="9"/>
    <w:lvlOverride w:ilvl="0">
      <w:startOverride w:val="1"/>
    </w:lvlOverride>
  </w:num>
  <w:num w:numId="25">
    <w:abstractNumId w:val="9"/>
    <w:lvlOverride w:ilvl="0">
      <w:lvl w:ilvl="0">
        <w:start w:val="1"/>
        <w:numFmt w:val="lowerLetter"/>
        <w:lvlText w:val="%1)"/>
        <w:legacy w:legacy="1" w:legacySpace="0" w:legacyIndent="283"/>
        <w:lvlJc w:val="left"/>
        <w:pPr>
          <w:ind w:left="283" w:hanging="283"/>
        </w:pPr>
      </w:lvl>
    </w:lvlOverride>
  </w:num>
  <w:num w:numId="26">
    <w:abstractNumId w:val="10"/>
  </w:num>
  <w:num w:numId="27">
    <w:abstractNumId w:val="10"/>
    <w:lvlOverride w:ilvl="0">
      <w:startOverride w:val="1"/>
    </w:lvlOverride>
  </w:num>
  <w:num w:numId="28">
    <w:abstractNumId w:val="11"/>
  </w:num>
  <w:num w:numId="29">
    <w:abstractNumId w:val="11"/>
    <w:lvlOverride w:ilvl="0">
      <w:startOverride w:val="1"/>
    </w:lvlOverride>
  </w:num>
  <w:num w:numId="30">
    <w:abstractNumId w:val="8"/>
  </w:num>
  <w:num w:numId="31">
    <w:abstractNumId w:val="8"/>
    <w:lvlOverride w:ilvl="0">
      <w:startOverride w:val="7"/>
    </w:lvlOverride>
  </w:num>
  <w:num w:numId="32">
    <w:abstractNumId w:val="3"/>
  </w:num>
  <w:num w:numId="33">
    <w:abstractNumId w:val="3"/>
    <w:lvlOverride w:ilvl="0">
      <w:startOverride w:val="8"/>
    </w:lvlOverride>
  </w:num>
  <w:num w:numId="34">
    <w:abstractNumId w:val="16"/>
  </w:num>
  <w:num w:numId="35">
    <w:abstractNumId w:val="16"/>
    <w:lvlOverride w:ilvl="0">
      <w:startOverride w:val="1"/>
    </w:lvlOverride>
  </w:num>
  <w:num w:numId="36">
    <w:abstractNumId w:val="12"/>
  </w:num>
  <w:num w:numId="37">
    <w:abstractNumId w:val="12"/>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1227"/>
    <w:rsid w:val="000734D0"/>
    <w:rsid w:val="000F5CCA"/>
    <w:rsid w:val="00110369"/>
    <w:rsid w:val="00121CE9"/>
    <w:rsid w:val="0019400C"/>
    <w:rsid w:val="002738CD"/>
    <w:rsid w:val="0039206F"/>
    <w:rsid w:val="00394C6F"/>
    <w:rsid w:val="003B073C"/>
    <w:rsid w:val="003C1B17"/>
    <w:rsid w:val="0044053B"/>
    <w:rsid w:val="00455848"/>
    <w:rsid w:val="004C0825"/>
    <w:rsid w:val="00502749"/>
    <w:rsid w:val="005271B6"/>
    <w:rsid w:val="00571631"/>
    <w:rsid w:val="005753EE"/>
    <w:rsid w:val="00582173"/>
    <w:rsid w:val="005B18FC"/>
    <w:rsid w:val="0060285A"/>
    <w:rsid w:val="0066546D"/>
    <w:rsid w:val="00784D60"/>
    <w:rsid w:val="00794974"/>
    <w:rsid w:val="007C5F98"/>
    <w:rsid w:val="007C726E"/>
    <w:rsid w:val="007D2D5B"/>
    <w:rsid w:val="00807581"/>
    <w:rsid w:val="00886261"/>
    <w:rsid w:val="008D1227"/>
    <w:rsid w:val="00974C6C"/>
    <w:rsid w:val="009D69EA"/>
    <w:rsid w:val="00A24A38"/>
    <w:rsid w:val="00A631A3"/>
    <w:rsid w:val="00A975F2"/>
    <w:rsid w:val="00AC1494"/>
    <w:rsid w:val="00AD581D"/>
    <w:rsid w:val="00B02595"/>
    <w:rsid w:val="00B412F4"/>
    <w:rsid w:val="00B97CF0"/>
    <w:rsid w:val="00C359AB"/>
    <w:rsid w:val="00C8362F"/>
    <w:rsid w:val="00CB5363"/>
    <w:rsid w:val="00D962FA"/>
    <w:rsid w:val="00E63F68"/>
    <w:rsid w:val="00E85D81"/>
    <w:rsid w:val="00EA658D"/>
    <w:rsid w:val="00EC54F3"/>
    <w:rsid w:val="00ED0429"/>
    <w:rsid w:val="00FD48BD"/>
    <w:rsid w:val="00FD63F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59AB"/>
    <w:pPr>
      <w:spacing w:after="200" w:line="276" w:lineRule="auto"/>
    </w:pPr>
    <w:rPr>
      <w:rFonts w:cs="Calibri"/>
      <w:sz w:val="22"/>
      <w:szCs w:val="22"/>
      <w:lang w:eastAsia="en-US"/>
    </w:rPr>
  </w:style>
  <w:style w:type="paragraph" w:styleId="Nagwek1">
    <w:name w:val="heading 1"/>
    <w:basedOn w:val="Normalny"/>
    <w:link w:val="Nagwek1Znak"/>
    <w:uiPriority w:val="99"/>
    <w:qFormat/>
    <w:rsid w:val="008D1227"/>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bCs/>
      <w:caps/>
      <w:kern w:val="28"/>
      <w:sz w:val="20"/>
      <w:szCs w:val="20"/>
      <w:lang w:eastAsia="pl-PL"/>
    </w:rPr>
  </w:style>
  <w:style w:type="paragraph" w:styleId="Nagwek2">
    <w:name w:val="heading 2"/>
    <w:basedOn w:val="Normalny"/>
    <w:link w:val="Nagwek2Znak"/>
    <w:uiPriority w:val="99"/>
    <w:qFormat/>
    <w:rsid w:val="008D1227"/>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bCs/>
      <w:sz w:val="20"/>
      <w:szCs w:val="20"/>
      <w:lang w:eastAsia="pl-PL"/>
    </w:rPr>
  </w:style>
  <w:style w:type="paragraph" w:styleId="Nagwek3">
    <w:name w:val="heading 3"/>
    <w:basedOn w:val="Normalny"/>
    <w:link w:val="Nagwek3Znak"/>
    <w:uiPriority w:val="99"/>
    <w:qFormat/>
    <w:rsid w:val="008D1227"/>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link w:val="Nagwek4Znak"/>
    <w:uiPriority w:val="99"/>
    <w:qFormat/>
    <w:rsid w:val="008D1227"/>
    <w:pPr>
      <w:keepNext/>
      <w:overflowPunct w:val="0"/>
      <w:autoSpaceDE w:val="0"/>
      <w:autoSpaceDN w:val="0"/>
      <w:adjustRightInd w:val="0"/>
      <w:spacing w:after="0" w:line="240" w:lineRule="auto"/>
      <w:jc w:val="center"/>
      <w:outlineLvl w:val="3"/>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D1227"/>
    <w:rPr>
      <w:rFonts w:ascii="Times New Roman" w:hAnsi="Times New Roman" w:cs="Times New Roman"/>
      <w:b/>
      <w:bCs/>
      <w:caps/>
      <w:kern w:val="28"/>
      <w:sz w:val="20"/>
      <w:szCs w:val="20"/>
      <w:lang w:eastAsia="pl-PL"/>
    </w:rPr>
  </w:style>
  <w:style w:type="character" w:customStyle="1" w:styleId="Nagwek2Znak">
    <w:name w:val="Nagłówek 2 Znak"/>
    <w:basedOn w:val="Domylnaczcionkaakapitu"/>
    <w:link w:val="Nagwek2"/>
    <w:uiPriority w:val="99"/>
    <w:locked/>
    <w:rsid w:val="008D1227"/>
    <w:rPr>
      <w:rFonts w:ascii="Times New Roman" w:hAnsi="Times New Roman" w:cs="Times New Roman"/>
      <w:b/>
      <w:bCs/>
      <w:sz w:val="20"/>
      <w:szCs w:val="20"/>
      <w:lang w:eastAsia="pl-PL"/>
    </w:rPr>
  </w:style>
  <w:style w:type="character" w:customStyle="1" w:styleId="Nagwek3Znak">
    <w:name w:val="Nagłówek 3 Znak"/>
    <w:basedOn w:val="Domylnaczcionkaakapitu"/>
    <w:link w:val="Nagwek3"/>
    <w:uiPriority w:val="99"/>
    <w:locked/>
    <w:rsid w:val="008D1227"/>
    <w:rPr>
      <w:rFonts w:ascii="Times New Roman" w:hAnsi="Times New Roman" w:cs="Times New Roman"/>
      <w:sz w:val="20"/>
      <w:szCs w:val="20"/>
      <w:lang w:eastAsia="pl-PL"/>
    </w:rPr>
  </w:style>
  <w:style w:type="character" w:customStyle="1" w:styleId="Nagwek4Znak">
    <w:name w:val="Nagłówek 4 Znak"/>
    <w:basedOn w:val="Domylnaczcionkaakapitu"/>
    <w:link w:val="Nagwek4"/>
    <w:uiPriority w:val="99"/>
    <w:locked/>
    <w:rsid w:val="008D1227"/>
    <w:rPr>
      <w:rFonts w:ascii="Times New Roman" w:hAnsi="Times New Roman" w:cs="Times New Roman"/>
      <w:b/>
      <w:bCs/>
      <w:sz w:val="20"/>
      <w:szCs w:val="20"/>
      <w:lang w:eastAsia="pl-PL"/>
    </w:rPr>
  </w:style>
  <w:style w:type="character" w:styleId="Hipercze">
    <w:name w:val="Hyperlink"/>
    <w:basedOn w:val="Domylnaczcionkaakapitu"/>
    <w:uiPriority w:val="99"/>
    <w:semiHidden/>
    <w:rsid w:val="008D1227"/>
    <w:rPr>
      <w:color w:val="0000FF"/>
      <w:u w:val="single"/>
    </w:rPr>
  </w:style>
  <w:style w:type="character" w:styleId="UyteHipercze">
    <w:name w:val="FollowedHyperlink"/>
    <w:basedOn w:val="Domylnaczcionkaakapitu"/>
    <w:uiPriority w:val="99"/>
    <w:semiHidden/>
    <w:rsid w:val="008D1227"/>
    <w:rPr>
      <w:color w:val="800080"/>
      <w:u w:val="single"/>
    </w:rPr>
  </w:style>
  <w:style w:type="paragraph" w:styleId="Spistreci1">
    <w:name w:val="toc 1"/>
    <w:basedOn w:val="Normalny"/>
    <w:autoRedefine/>
    <w:uiPriority w:val="99"/>
    <w:semiHidden/>
    <w:rsid w:val="008D1227"/>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autoRedefine/>
    <w:uiPriority w:val="99"/>
    <w:semiHidden/>
    <w:rsid w:val="008D1227"/>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99"/>
    <w:semiHidden/>
    <w:rsid w:val="008D1227"/>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99"/>
    <w:semiHidden/>
    <w:rsid w:val="008D1227"/>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18"/>
      <w:lang w:eastAsia="pl-PL"/>
    </w:rPr>
  </w:style>
  <w:style w:type="paragraph" w:styleId="Spistreci5">
    <w:name w:val="toc 5"/>
    <w:basedOn w:val="Normalny"/>
    <w:autoRedefine/>
    <w:uiPriority w:val="99"/>
    <w:semiHidden/>
    <w:rsid w:val="008D1227"/>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18"/>
      <w:lang w:eastAsia="pl-PL"/>
    </w:rPr>
  </w:style>
  <w:style w:type="paragraph" w:styleId="Spistreci6">
    <w:name w:val="toc 6"/>
    <w:basedOn w:val="Normalny"/>
    <w:autoRedefine/>
    <w:uiPriority w:val="99"/>
    <w:semiHidden/>
    <w:rsid w:val="008D1227"/>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18"/>
      <w:lang w:eastAsia="pl-PL"/>
    </w:rPr>
  </w:style>
  <w:style w:type="paragraph" w:styleId="Spistreci7">
    <w:name w:val="toc 7"/>
    <w:basedOn w:val="Normalny"/>
    <w:autoRedefine/>
    <w:uiPriority w:val="99"/>
    <w:semiHidden/>
    <w:rsid w:val="008D1227"/>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18"/>
      <w:lang w:eastAsia="pl-PL"/>
    </w:rPr>
  </w:style>
  <w:style w:type="paragraph" w:styleId="Spistreci8">
    <w:name w:val="toc 8"/>
    <w:basedOn w:val="Normalny"/>
    <w:autoRedefine/>
    <w:uiPriority w:val="99"/>
    <w:semiHidden/>
    <w:rsid w:val="008D1227"/>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18"/>
      <w:lang w:eastAsia="pl-PL"/>
    </w:rPr>
  </w:style>
  <w:style w:type="paragraph" w:styleId="Spistreci9">
    <w:name w:val="toc 9"/>
    <w:basedOn w:val="Normalny"/>
    <w:autoRedefine/>
    <w:uiPriority w:val="99"/>
    <w:semiHidden/>
    <w:rsid w:val="008D1227"/>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18"/>
      <w:lang w:eastAsia="pl-PL"/>
    </w:rPr>
  </w:style>
  <w:style w:type="paragraph" w:styleId="Tekstprzypisudolnego">
    <w:name w:val="footnote text"/>
    <w:basedOn w:val="Normalny"/>
    <w:link w:val="TekstprzypisudolnegoZnak"/>
    <w:uiPriority w:val="99"/>
    <w:semiHidden/>
    <w:rsid w:val="008D12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locked/>
    <w:rsid w:val="008D1227"/>
    <w:rPr>
      <w:rFonts w:ascii="Times New Roman" w:hAnsi="Times New Roman" w:cs="Times New Roman"/>
      <w:sz w:val="20"/>
      <w:szCs w:val="20"/>
      <w:lang w:eastAsia="pl-PL"/>
    </w:rPr>
  </w:style>
  <w:style w:type="paragraph" w:styleId="Nagwek">
    <w:name w:val="header"/>
    <w:basedOn w:val="Normalny"/>
    <w:link w:val="NagwekZnak"/>
    <w:uiPriority w:val="99"/>
    <w:semiHidden/>
    <w:rsid w:val="008D1227"/>
    <w:pPr>
      <w:tabs>
        <w:tab w:val="center" w:pos="4536"/>
        <w:tab w:val="right" w:pos="9072"/>
      </w:tabs>
      <w:overflowPunct w:val="0"/>
      <w:autoSpaceDE w:val="0"/>
      <w:autoSpaceDN w:val="0"/>
      <w:adjustRightInd w:val="0"/>
      <w:spacing w:after="0" w:line="240" w:lineRule="auto"/>
    </w:pPr>
    <w:rPr>
      <w:rFonts w:ascii="Century Gothic" w:eastAsia="Times New Roman" w:hAnsi="Century Gothic" w:cs="Century Gothic"/>
      <w:sz w:val="24"/>
      <w:szCs w:val="24"/>
      <w:lang w:eastAsia="pl-PL"/>
    </w:rPr>
  </w:style>
  <w:style w:type="character" w:customStyle="1" w:styleId="NagwekZnak">
    <w:name w:val="Nagłówek Znak"/>
    <w:basedOn w:val="Domylnaczcionkaakapitu"/>
    <w:link w:val="Nagwek"/>
    <w:uiPriority w:val="99"/>
    <w:semiHidden/>
    <w:locked/>
    <w:rsid w:val="008D1227"/>
    <w:rPr>
      <w:rFonts w:ascii="Century Gothic" w:hAnsi="Century Gothic" w:cs="Century Gothic"/>
      <w:sz w:val="20"/>
      <w:szCs w:val="20"/>
      <w:lang w:eastAsia="pl-PL"/>
    </w:rPr>
  </w:style>
  <w:style w:type="paragraph" w:styleId="Stopka">
    <w:name w:val="footer"/>
    <w:basedOn w:val="Normalny"/>
    <w:link w:val="StopkaZnak"/>
    <w:uiPriority w:val="99"/>
    <w:semiHidden/>
    <w:rsid w:val="008D1227"/>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locked/>
    <w:rsid w:val="008D1227"/>
    <w:rPr>
      <w:rFonts w:ascii="Times New Roman" w:hAnsi="Times New Roman" w:cs="Times New Roman"/>
      <w:sz w:val="20"/>
      <w:szCs w:val="20"/>
      <w:lang w:eastAsia="pl-PL"/>
    </w:rPr>
  </w:style>
  <w:style w:type="paragraph" w:customStyle="1" w:styleId="StylIwony">
    <w:name w:val="Styl Iwony"/>
    <w:basedOn w:val="Normalny"/>
    <w:uiPriority w:val="99"/>
    <w:rsid w:val="008D1227"/>
    <w:pPr>
      <w:overflowPunct w:val="0"/>
      <w:autoSpaceDE w:val="0"/>
      <w:autoSpaceDN w:val="0"/>
      <w:adjustRightInd w:val="0"/>
      <w:spacing w:before="120" w:after="120" w:line="240" w:lineRule="auto"/>
      <w:jc w:val="both"/>
    </w:pPr>
    <w:rPr>
      <w:rFonts w:ascii="Bookman Old Style" w:eastAsia="Times New Roman" w:hAnsi="Bookman Old Style" w:cs="Bookman Old Style"/>
      <w:sz w:val="24"/>
      <w:szCs w:val="24"/>
      <w:lang w:eastAsia="pl-PL"/>
    </w:rPr>
  </w:style>
  <w:style w:type="paragraph" w:customStyle="1" w:styleId="tekstost">
    <w:name w:val="tekst ost"/>
    <w:basedOn w:val="Normalny"/>
    <w:uiPriority w:val="99"/>
    <w:rsid w:val="008D12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uiPriority w:val="99"/>
    <w:rsid w:val="008D1227"/>
    <w:pPr>
      <w:overflowPunct w:val="0"/>
      <w:autoSpaceDE w:val="0"/>
      <w:autoSpaceDN w:val="0"/>
      <w:adjustRightInd w:val="0"/>
      <w:jc w:val="both"/>
    </w:pPr>
    <w:rPr>
      <w:rFonts w:ascii="Times New Roman" w:eastAsia="Times New Roman" w:hAnsi="Times New Roman"/>
    </w:rPr>
  </w:style>
  <w:style w:type="character" w:styleId="Odwoanieprzypisudolnego">
    <w:name w:val="footnote reference"/>
    <w:basedOn w:val="Domylnaczcionkaakapitu"/>
    <w:uiPriority w:val="99"/>
    <w:semiHidden/>
    <w:rsid w:val="008D1227"/>
    <w:rPr>
      <w:vertAlign w:val="superscript"/>
    </w:rPr>
  </w:style>
  <w:style w:type="paragraph" w:styleId="Tekstdymka">
    <w:name w:val="Balloon Text"/>
    <w:basedOn w:val="Normalny"/>
    <w:link w:val="TekstdymkaZnak"/>
    <w:uiPriority w:val="99"/>
    <w:semiHidden/>
    <w:rsid w:val="005271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271B6"/>
    <w:rPr>
      <w:rFonts w:ascii="Tahoma" w:hAnsi="Tahoma" w:cs="Tahoma"/>
      <w:sz w:val="16"/>
      <w:szCs w:val="16"/>
    </w:rPr>
  </w:style>
  <w:style w:type="paragraph" w:styleId="Zwykytekst">
    <w:name w:val="Plain Text"/>
    <w:basedOn w:val="Normalny"/>
    <w:link w:val="ZwykytekstZnak"/>
    <w:uiPriority w:val="99"/>
    <w:semiHidden/>
    <w:rsid w:val="003C1B17"/>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semiHidden/>
    <w:locked/>
    <w:rsid w:val="003C1B17"/>
    <w:rPr>
      <w:rFonts w:ascii="Courier New" w:hAnsi="Courier New" w:cs="Courier New"/>
      <w:sz w:val="20"/>
      <w:szCs w:val="20"/>
      <w:lang w:eastAsia="pl-PL"/>
    </w:rPr>
  </w:style>
  <w:style w:type="character" w:customStyle="1" w:styleId="TekstpodstawowyZnak">
    <w:name w:val="Tekst podstawowy Znak"/>
    <w:basedOn w:val="Domylnaczcionkaakapitu"/>
    <w:link w:val="Tekstpodstawowy"/>
    <w:uiPriority w:val="99"/>
    <w:locked/>
    <w:rsid w:val="000F5CCA"/>
    <w:rPr>
      <w:b/>
      <w:bCs/>
      <w:sz w:val="24"/>
      <w:szCs w:val="24"/>
      <w:lang w:val="pl-PL" w:eastAsia="ar-SA" w:bidi="ar-SA"/>
    </w:rPr>
  </w:style>
  <w:style w:type="paragraph" w:styleId="Tekstpodstawowy">
    <w:name w:val="Body Text"/>
    <w:basedOn w:val="Normalny"/>
    <w:link w:val="TekstpodstawowyZnak"/>
    <w:uiPriority w:val="99"/>
    <w:rsid w:val="000F5CCA"/>
    <w:pPr>
      <w:suppressAutoHyphens/>
      <w:spacing w:after="0" w:line="240" w:lineRule="auto"/>
      <w:jc w:val="both"/>
    </w:pPr>
    <w:rPr>
      <w:rFonts w:cs="Times New Roman"/>
      <w:b/>
      <w:bCs/>
      <w:sz w:val="28"/>
      <w:szCs w:val="28"/>
      <w:lang w:eastAsia="ar-SA"/>
    </w:rPr>
  </w:style>
  <w:style w:type="character" w:customStyle="1" w:styleId="BodyTextChar">
    <w:name w:val="Body Text Char"/>
    <w:basedOn w:val="Domylnaczcionkaakapitu"/>
    <w:link w:val="Tekstpodstawowy"/>
    <w:uiPriority w:val="99"/>
    <w:semiHidden/>
    <w:rsid w:val="009B0E04"/>
    <w:rPr>
      <w:rFonts w:cs="Calibri"/>
      <w:lang w:eastAsia="en-US"/>
    </w:rPr>
  </w:style>
</w:styles>
</file>

<file path=word/webSettings.xml><?xml version="1.0" encoding="utf-8"?>
<w:webSettings xmlns:r="http://schemas.openxmlformats.org/officeDocument/2006/relationships" xmlns:w="http://schemas.openxmlformats.org/wordprocessingml/2006/main">
  <w:divs>
    <w:div w:id="1358506595">
      <w:marLeft w:val="0"/>
      <w:marRight w:val="0"/>
      <w:marTop w:val="0"/>
      <w:marBottom w:val="0"/>
      <w:divBdr>
        <w:top w:val="none" w:sz="0" w:space="0" w:color="auto"/>
        <w:left w:val="none" w:sz="0" w:space="0" w:color="auto"/>
        <w:bottom w:val="none" w:sz="0" w:space="0" w:color="auto"/>
        <w:right w:val="none" w:sz="0" w:space="0" w:color="auto"/>
      </w:divBdr>
    </w:div>
    <w:div w:id="1358506598">
      <w:marLeft w:val="0"/>
      <w:marRight w:val="0"/>
      <w:marTop w:val="0"/>
      <w:marBottom w:val="0"/>
      <w:divBdr>
        <w:top w:val="none" w:sz="0" w:space="0" w:color="auto"/>
        <w:left w:val="none" w:sz="0" w:space="0" w:color="auto"/>
        <w:bottom w:val="none" w:sz="0" w:space="0" w:color="auto"/>
        <w:right w:val="none" w:sz="0" w:space="0" w:color="auto"/>
      </w:divBdr>
    </w:div>
    <w:div w:id="1358506603">
      <w:marLeft w:val="0"/>
      <w:marRight w:val="0"/>
      <w:marTop w:val="0"/>
      <w:marBottom w:val="0"/>
      <w:divBdr>
        <w:top w:val="none" w:sz="0" w:space="0" w:color="auto"/>
        <w:left w:val="none" w:sz="0" w:space="0" w:color="auto"/>
        <w:bottom w:val="none" w:sz="0" w:space="0" w:color="auto"/>
        <w:right w:val="none" w:sz="0" w:space="0" w:color="auto"/>
      </w:divBdr>
    </w:div>
    <w:div w:id="1358506608">
      <w:marLeft w:val="0"/>
      <w:marRight w:val="0"/>
      <w:marTop w:val="0"/>
      <w:marBottom w:val="0"/>
      <w:divBdr>
        <w:top w:val="none" w:sz="0" w:space="0" w:color="auto"/>
        <w:left w:val="none" w:sz="0" w:space="0" w:color="auto"/>
        <w:bottom w:val="none" w:sz="0" w:space="0" w:color="auto"/>
        <w:right w:val="none" w:sz="0" w:space="0" w:color="auto"/>
      </w:divBdr>
    </w:div>
    <w:div w:id="1358506609">
      <w:marLeft w:val="0"/>
      <w:marRight w:val="0"/>
      <w:marTop w:val="0"/>
      <w:marBottom w:val="0"/>
      <w:divBdr>
        <w:top w:val="none" w:sz="0" w:space="0" w:color="auto"/>
        <w:left w:val="none" w:sz="0" w:space="0" w:color="auto"/>
        <w:bottom w:val="none" w:sz="0" w:space="0" w:color="auto"/>
        <w:right w:val="none" w:sz="0" w:space="0" w:color="auto"/>
      </w:divBdr>
    </w:div>
    <w:div w:id="1358506610">
      <w:marLeft w:val="0"/>
      <w:marRight w:val="0"/>
      <w:marTop w:val="0"/>
      <w:marBottom w:val="0"/>
      <w:divBdr>
        <w:top w:val="none" w:sz="0" w:space="0" w:color="auto"/>
        <w:left w:val="none" w:sz="0" w:space="0" w:color="auto"/>
        <w:bottom w:val="none" w:sz="0" w:space="0" w:color="auto"/>
        <w:right w:val="none" w:sz="0" w:space="0" w:color="auto"/>
      </w:divBdr>
    </w:div>
    <w:div w:id="1358506611">
      <w:marLeft w:val="0"/>
      <w:marRight w:val="0"/>
      <w:marTop w:val="0"/>
      <w:marBottom w:val="0"/>
      <w:divBdr>
        <w:top w:val="none" w:sz="0" w:space="0" w:color="auto"/>
        <w:left w:val="none" w:sz="0" w:space="0" w:color="auto"/>
        <w:bottom w:val="none" w:sz="0" w:space="0" w:color="auto"/>
        <w:right w:val="none" w:sz="0" w:space="0" w:color="auto"/>
      </w:divBdr>
      <w:divsChild>
        <w:div w:id="1358506596">
          <w:marLeft w:val="0"/>
          <w:marRight w:val="0"/>
          <w:marTop w:val="0"/>
          <w:marBottom w:val="0"/>
          <w:divBdr>
            <w:top w:val="none" w:sz="0" w:space="0" w:color="auto"/>
            <w:left w:val="none" w:sz="0" w:space="0" w:color="auto"/>
            <w:bottom w:val="single" w:sz="4" w:space="1" w:color="auto"/>
            <w:right w:val="none" w:sz="0" w:space="0" w:color="auto"/>
          </w:divBdr>
        </w:div>
        <w:div w:id="1358506597">
          <w:marLeft w:val="0"/>
          <w:marRight w:val="0"/>
          <w:marTop w:val="0"/>
          <w:marBottom w:val="0"/>
          <w:divBdr>
            <w:top w:val="none" w:sz="0" w:space="0" w:color="auto"/>
            <w:left w:val="none" w:sz="0" w:space="0" w:color="auto"/>
            <w:bottom w:val="single" w:sz="4" w:space="1" w:color="auto"/>
            <w:right w:val="none" w:sz="0" w:space="0" w:color="auto"/>
          </w:divBdr>
        </w:div>
        <w:div w:id="1358506599">
          <w:marLeft w:val="0"/>
          <w:marRight w:val="0"/>
          <w:marTop w:val="0"/>
          <w:marBottom w:val="0"/>
          <w:divBdr>
            <w:top w:val="none" w:sz="0" w:space="0" w:color="auto"/>
            <w:left w:val="none" w:sz="0" w:space="0" w:color="auto"/>
            <w:bottom w:val="single" w:sz="6" w:space="1" w:color="auto"/>
            <w:right w:val="none" w:sz="0" w:space="0" w:color="auto"/>
          </w:divBdr>
        </w:div>
        <w:div w:id="1358506600">
          <w:marLeft w:val="0"/>
          <w:marRight w:val="0"/>
          <w:marTop w:val="0"/>
          <w:marBottom w:val="0"/>
          <w:divBdr>
            <w:top w:val="none" w:sz="0" w:space="0" w:color="auto"/>
            <w:left w:val="none" w:sz="0" w:space="0" w:color="auto"/>
            <w:bottom w:val="single" w:sz="4" w:space="1" w:color="auto"/>
            <w:right w:val="none" w:sz="0" w:space="0" w:color="auto"/>
          </w:divBdr>
        </w:div>
        <w:div w:id="1358506601">
          <w:marLeft w:val="0"/>
          <w:marRight w:val="0"/>
          <w:marTop w:val="0"/>
          <w:marBottom w:val="0"/>
          <w:divBdr>
            <w:top w:val="none" w:sz="0" w:space="0" w:color="auto"/>
            <w:left w:val="none" w:sz="0" w:space="0" w:color="auto"/>
            <w:bottom w:val="single" w:sz="4" w:space="1" w:color="auto"/>
            <w:right w:val="none" w:sz="0" w:space="0" w:color="auto"/>
          </w:divBdr>
        </w:div>
        <w:div w:id="1358506602">
          <w:marLeft w:val="0"/>
          <w:marRight w:val="0"/>
          <w:marTop w:val="0"/>
          <w:marBottom w:val="0"/>
          <w:divBdr>
            <w:top w:val="none" w:sz="0" w:space="0" w:color="auto"/>
            <w:left w:val="none" w:sz="0" w:space="0" w:color="auto"/>
            <w:bottom w:val="single" w:sz="4" w:space="1" w:color="auto"/>
            <w:right w:val="none" w:sz="0" w:space="0" w:color="auto"/>
          </w:divBdr>
        </w:div>
        <w:div w:id="1358506604">
          <w:marLeft w:val="0"/>
          <w:marRight w:val="0"/>
          <w:marTop w:val="0"/>
          <w:marBottom w:val="0"/>
          <w:divBdr>
            <w:top w:val="single" w:sz="4" w:space="1" w:color="auto"/>
            <w:left w:val="none" w:sz="0" w:space="0" w:color="auto"/>
            <w:bottom w:val="none" w:sz="0" w:space="0" w:color="auto"/>
            <w:right w:val="none" w:sz="0" w:space="0" w:color="auto"/>
          </w:divBdr>
        </w:div>
        <w:div w:id="1358506605">
          <w:marLeft w:val="0"/>
          <w:marRight w:val="0"/>
          <w:marTop w:val="0"/>
          <w:marBottom w:val="0"/>
          <w:divBdr>
            <w:top w:val="single" w:sz="4" w:space="1" w:color="auto"/>
            <w:left w:val="none" w:sz="0" w:space="0" w:color="auto"/>
            <w:bottom w:val="none" w:sz="0" w:space="0" w:color="auto"/>
            <w:right w:val="none" w:sz="0" w:space="0" w:color="auto"/>
          </w:divBdr>
        </w:div>
        <w:div w:id="1358506606">
          <w:marLeft w:val="0"/>
          <w:marRight w:val="0"/>
          <w:marTop w:val="0"/>
          <w:marBottom w:val="0"/>
          <w:divBdr>
            <w:top w:val="single" w:sz="4" w:space="1" w:color="auto"/>
            <w:left w:val="none" w:sz="0" w:space="0" w:color="auto"/>
            <w:bottom w:val="none" w:sz="0" w:space="0" w:color="auto"/>
            <w:right w:val="none" w:sz="0" w:space="0" w:color="auto"/>
          </w:divBdr>
        </w:div>
        <w:div w:id="1358506607">
          <w:marLeft w:val="0"/>
          <w:marRight w:val="0"/>
          <w:marTop w:val="0"/>
          <w:marBottom w:val="0"/>
          <w:divBdr>
            <w:top w:val="none" w:sz="0" w:space="0" w:color="auto"/>
            <w:left w:val="none" w:sz="0" w:space="0" w:color="auto"/>
            <w:bottom w:val="single" w:sz="4" w:space="1" w:color="auto"/>
            <w:right w:val="none" w:sz="0" w:space="0" w:color="auto"/>
          </w:divBdr>
        </w:div>
        <w:div w:id="1358506612">
          <w:marLeft w:val="0"/>
          <w:marRight w:val="0"/>
          <w:marTop w:val="0"/>
          <w:marBottom w:val="0"/>
          <w:divBdr>
            <w:top w:val="none" w:sz="0" w:space="0" w:color="auto"/>
            <w:left w:val="none" w:sz="0" w:space="0" w:color="auto"/>
            <w:bottom w:val="single" w:sz="4" w:space="1" w:color="auto"/>
            <w:right w:val="none" w:sz="0" w:space="0" w:color="auto"/>
          </w:divBdr>
        </w:div>
      </w:divsChild>
    </w:div>
    <w:div w:id="1358506613">
      <w:marLeft w:val="0"/>
      <w:marRight w:val="0"/>
      <w:marTop w:val="0"/>
      <w:marBottom w:val="0"/>
      <w:divBdr>
        <w:top w:val="none" w:sz="0" w:space="0" w:color="auto"/>
        <w:left w:val="none" w:sz="0" w:space="0" w:color="auto"/>
        <w:bottom w:val="none" w:sz="0" w:space="0" w:color="auto"/>
        <w:right w:val="none" w:sz="0" w:space="0" w:color="auto"/>
      </w:divBdr>
    </w:div>
    <w:div w:id="1358506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4040</Words>
  <Characters>24242</Characters>
  <Application>Microsoft Office Word</Application>
  <DocSecurity>0</DocSecurity>
  <Lines>202</Lines>
  <Paragraphs>56</Paragraphs>
  <ScaleCrop>false</ScaleCrop>
  <Company>Hewlett-Packard</Company>
  <LinksUpToDate>false</LinksUpToDate>
  <CharactersWithSpaces>28226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dc:creator>
  <cp:keywords/>
  <dc:description/>
  <cp:lastModifiedBy>DM MD</cp:lastModifiedBy>
  <cp:revision>34</cp:revision>
  <dcterms:created xsi:type="dcterms:W3CDTF">2009-07-13T20:51:00Z</dcterms:created>
  <dcterms:modified xsi:type="dcterms:W3CDTF">2023-01-31T10:06:00Z</dcterms:modified>
</cp:coreProperties>
</file>