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proofErr w:type="spellStart"/>
      <w:r w:rsidR="006256C5">
        <w:rPr>
          <w:sz w:val="20"/>
          <w:szCs w:val="20"/>
        </w:rPr>
        <w:t>Raszków</w:t>
      </w:r>
      <w:proofErr w:type="spellEnd"/>
      <w:r w:rsidR="006256C5">
        <w:rPr>
          <w:sz w:val="20"/>
          <w:szCs w:val="20"/>
        </w:rPr>
        <w:t xml:space="preserve">, </w:t>
      </w:r>
      <w:r w:rsidR="00BA0590">
        <w:rPr>
          <w:sz w:val="20"/>
          <w:szCs w:val="20"/>
        </w:rPr>
        <w:t>2022-</w:t>
      </w:r>
      <w:r w:rsidR="008A31DD">
        <w:rPr>
          <w:sz w:val="20"/>
          <w:szCs w:val="20"/>
        </w:rPr>
        <w:t>05-06</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BA0590">
        <w:rPr>
          <w:color w:val="000000" w:themeColor="text1"/>
          <w:sz w:val="20"/>
          <w:szCs w:val="20"/>
        </w:rPr>
        <w:t>5.2022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zamówień publicznych (Dz. U. z 2019 r. poz. 2019) – dalej ustawy PZP na </w:t>
      </w:r>
      <w:r w:rsidR="00C0687B">
        <w:rPr>
          <w:sz w:val="20"/>
          <w:szCs w:val="20"/>
        </w:rPr>
        <w:t>roboty budowlane pn.</w:t>
      </w:r>
    </w:p>
    <w:p w:rsidR="00C0687B" w:rsidRDefault="00C0687B">
      <w:pPr>
        <w:spacing w:before="240" w:line="360" w:lineRule="auto"/>
        <w:jc w:val="center"/>
        <w:rPr>
          <w:b/>
          <w:color w:val="000000" w:themeColor="text1"/>
          <w:sz w:val="20"/>
          <w:szCs w:val="20"/>
        </w:rPr>
      </w:pPr>
      <w:r>
        <w:rPr>
          <w:b/>
          <w:color w:val="000000" w:themeColor="text1"/>
          <w:sz w:val="20"/>
          <w:szCs w:val="20"/>
        </w:rPr>
        <w:t>„</w:t>
      </w:r>
      <w:r w:rsidR="00004F46">
        <w:rPr>
          <w:b/>
          <w:color w:val="000000" w:themeColor="text1"/>
          <w:sz w:val="20"/>
          <w:szCs w:val="20"/>
        </w:rPr>
        <w:t>Przeb</w:t>
      </w:r>
      <w:r w:rsidR="00BA0590">
        <w:rPr>
          <w:b/>
          <w:color w:val="000000" w:themeColor="text1"/>
          <w:sz w:val="20"/>
          <w:szCs w:val="20"/>
        </w:rPr>
        <w:t xml:space="preserve">udowa drogi gminnej nr 782625P i 782629P ul. Os. Robotnicze w m. Radłów w zakresie budowy ciągu pieszo-rowerowego oraz odwodnienia” </w:t>
      </w: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F7703D" w:rsidRPr="006256C5" w:rsidRDefault="003D7B31" w:rsidP="00E81150">
      <w:pPr>
        <w:spacing w:before="240" w:line="240" w:lineRule="auto"/>
        <w:jc w:val="center"/>
        <w:rPr>
          <w:color w:val="000000" w:themeColor="text1"/>
        </w:rPr>
      </w:pPr>
      <w:r>
        <w:rPr>
          <w:color w:val="000000" w:themeColor="text1"/>
        </w:rPr>
        <w:t>Zadanie dofinansowane</w:t>
      </w:r>
      <w:r w:rsidR="00E81150" w:rsidRPr="006256C5">
        <w:rPr>
          <w:color w:val="000000" w:themeColor="text1"/>
        </w:rPr>
        <w:t xml:space="preserve"> jest z Rządowego Funduszu Rozwoju Dróg</w:t>
      </w:r>
    </w:p>
    <w:p w:rsidR="00D92D65" w:rsidRPr="00E81150" w:rsidRDefault="00D92D65" w:rsidP="00E81150">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8A31DD" w:rsidRDefault="001F61B9" w:rsidP="001F61B9">
      <w:pPr>
        <w:jc w:val="center"/>
        <w:rPr>
          <w:sz w:val="20"/>
          <w:szCs w:val="20"/>
        </w:rPr>
      </w:pPr>
      <w:r w:rsidRPr="008A31DD">
        <w:rPr>
          <w:sz w:val="20"/>
          <w:szCs w:val="20"/>
        </w:rPr>
        <w:t xml:space="preserve">                                                                                                 </w:t>
      </w:r>
      <w:r w:rsidR="0027599C" w:rsidRPr="008A31DD">
        <w:rPr>
          <w:sz w:val="20"/>
          <w:szCs w:val="20"/>
        </w:rPr>
        <w:t>202</w:t>
      </w:r>
      <w:r w:rsidR="00BA0590" w:rsidRPr="008A31DD">
        <w:rPr>
          <w:sz w:val="20"/>
          <w:szCs w:val="20"/>
        </w:rPr>
        <w:t>2-05-</w:t>
      </w:r>
      <w:r w:rsidR="008A31DD">
        <w:rPr>
          <w:sz w:val="20"/>
          <w:szCs w:val="20"/>
        </w:rPr>
        <w:t>06</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077AEE" w:rsidP="00F7703D">
      <w:pPr>
        <w:jc w:val="right"/>
      </w:pPr>
      <w:r>
        <w:t xml:space="preserve"> Burmistrz</w:t>
      </w:r>
      <w:r w:rsidR="00AC2FD5">
        <w:t xml:space="preserve"> Gminy i Miasta Raszków </w:t>
      </w: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1939E0">
              <w:rPr>
                <w:noProof/>
                <w:webHidden/>
              </w:rPr>
              <w:t>3</w:t>
            </w:r>
            <w:r>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1939E0">
              <w:rPr>
                <w:noProof/>
                <w:webHidden/>
              </w:rPr>
              <w:t>3</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1939E0">
              <w:rPr>
                <w:noProof/>
                <w:webHidden/>
              </w:rPr>
              <w:t>4</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1939E0">
              <w:rPr>
                <w:noProof/>
                <w:webHidden/>
              </w:rPr>
              <w:t>6</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1939E0">
              <w:rPr>
                <w:noProof/>
                <w:webHidden/>
              </w:rPr>
              <w:t>8</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1939E0">
              <w:rPr>
                <w:noProof/>
                <w:webHidden/>
              </w:rPr>
              <w:t>8</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1939E0">
              <w:rPr>
                <w:noProof/>
                <w:webHidden/>
              </w:rPr>
              <w:t>9</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1939E0">
              <w:rPr>
                <w:noProof/>
                <w:webHidden/>
              </w:rPr>
              <w:t>9</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1939E0">
              <w:rPr>
                <w:noProof/>
                <w:webHidden/>
              </w:rPr>
              <w:t>11</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1939E0">
              <w:rPr>
                <w:noProof/>
                <w:webHidden/>
              </w:rPr>
              <w:t>11</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1939E0">
              <w:rPr>
                <w:noProof/>
                <w:webHidden/>
              </w:rPr>
              <w:t>13</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1939E0">
              <w:rPr>
                <w:noProof/>
                <w:webHidden/>
              </w:rPr>
              <w:t>14</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1939E0">
              <w:rPr>
                <w:noProof/>
                <w:webHidden/>
              </w:rPr>
              <w:t>15</w:t>
            </w:r>
            <w:r w:rsidR="002C0D6C">
              <w:rPr>
                <w:noProof/>
                <w:webHidden/>
              </w:rPr>
              <w:fldChar w:fldCharType="end"/>
            </w:r>
          </w:hyperlink>
        </w:p>
        <w:p w:rsidR="00B229FA" w:rsidRDefault="004B7109"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1939E0">
              <w:rPr>
                <w:noProof/>
                <w:webHidden/>
              </w:rPr>
              <w:t>16</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1939E0">
              <w:rPr>
                <w:noProof/>
                <w:webHidden/>
              </w:rPr>
              <w:t>20</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1939E0">
              <w:rPr>
                <w:noProof/>
                <w:webHidden/>
              </w:rPr>
              <w:t>20</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1939E0">
              <w:rPr>
                <w:noProof/>
                <w:webHidden/>
              </w:rPr>
              <w:t>21</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1939E0">
              <w:rPr>
                <w:noProof/>
                <w:webHidden/>
              </w:rPr>
              <w:t>22</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1939E0">
              <w:rPr>
                <w:noProof/>
                <w:webHidden/>
              </w:rPr>
              <w:t>22</w:t>
            </w:r>
            <w:r w:rsidR="002C0D6C">
              <w:rPr>
                <w:noProof/>
                <w:webHidden/>
              </w:rPr>
              <w:fldChar w:fldCharType="end"/>
            </w:r>
          </w:hyperlink>
        </w:p>
        <w:p w:rsidR="00B229FA" w:rsidRPr="00DB53C6" w:rsidRDefault="004B7109"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1939E0">
              <w:rPr>
                <w:noProof/>
                <w:webHidden/>
              </w:rPr>
              <w:t>23</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1939E0">
              <w:rPr>
                <w:noProof/>
                <w:webHidden/>
              </w:rPr>
              <w:t>24</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1939E0">
              <w:rPr>
                <w:noProof/>
                <w:webHidden/>
              </w:rPr>
              <w:t>25</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1939E0">
              <w:rPr>
                <w:noProof/>
                <w:webHidden/>
              </w:rPr>
              <w:t>25</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1939E0">
              <w:rPr>
                <w:noProof/>
                <w:webHidden/>
              </w:rPr>
              <w:t>26</w:t>
            </w:r>
            <w:r w:rsidR="002C0D6C">
              <w:rPr>
                <w:noProof/>
                <w:webHidden/>
              </w:rPr>
              <w:fldChar w:fldCharType="end"/>
            </w:r>
          </w:hyperlink>
        </w:p>
        <w:p w:rsidR="00B229FA" w:rsidRDefault="004B7109">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1939E0">
              <w:rPr>
                <w:noProof/>
                <w:webHidden/>
              </w:rPr>
              <w:t>27</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BA0590">
        <w:rPr>
          <w:sz w:val="20"/>
          <w:szCs w:val="20"/>
        </w:rPr>
        <w:t>Przebudowa drogi gminnej nr 782625P i 782629P ul. Os. Robotnicze w m. Radłów w zakresie budowy ciągu pieszo-rowerowego oraz odwodnienia</w:t>
      </w:r>
      <w:r w:rsidR="00250414" w:rsidRPr="00613D66">
        <w:rPr>
          <w:sz w:val="20"/>
          <w:szCs w:val="20"/>
        </w:rPr>
        <w:t>”</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Default="00F22C18" w:rsidP="00F22C18">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w:t>
      </w:r>
      <w:r>
        <w:rPr>
          <w:sz w:val="20"/>
          <w:szCs w:val="20"/>
        </w:rPr>
        <w:lastRenderedPageBreak/>
        <w:t xml:space="preserve">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1C74D6" w:rsidRPr="001C74D6" w:rsidRDefault="00D451C1" w:rsidP="001C74D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057133">
        <w:rPr>
          <w:sz w:val="20"/>
          <w:szCs w:val="20"/>
        </w:rPr>
        <w:t xml:space="preserve">jest Przebudowa </w:t>
      </w:r>
      <w:r w:rsidR="000B11BD">
        <w:rPr>
          <w:sz w:val="20"/>
          <w:szCs w:val="20"/>
        </w:rPr>
        <w:t>drogi gminnej nr 782625P i 782629P ul. Os. Robotnicze w m. Radłów w zakresie budowy ciągu pies</w:t>
      </w:r>
      <w:r w:rsidR="001C74D6">
        <w:rPr>
          <w:sz w:val="20"/>
          <w:szCs w:val="20"/>
        </w:rPr>
        <w:t>zo-rowerowego oraz odwodnienia.</w:t>
      </w:r>
    </w:p>
    <w:p w:rsidR="001C74D6" w:rsidRPr="001C74D6" w:rsidRDefault="001C74D6" w:rsidP="001C74D6">
      <w:pPr>
        <w:pStyle w:val="Akapitzlist"/>
        <w:numPr>
          <w:ilvl w:val="0"/>
          <w:numId w:val="1"/>
        </w:numPr>
        <w:spacing w:after="240" w:line="360" w:lineRule="auto"/>
        <w:jc w:val="both"/>
        <w:rPr>
          <w:rFonts w:ascii="Times New Roman" w:eastAsia="Times New Roman" w:hAnsi="Times New Roman" w:cs="Times New Roman"/>
          <w:sz w:val="24"/>
          <w:szCs w:val="24"/>
          <w:lang w:val="pl-PL"/>
        </w:rPr>
      </w:pPr>
      <w:r w:rsidRPr="001C74D6">
        <w:rPr>
          <w:rFonts w:eastAsia="Times New Roman"/>
          <w:sz w:val="20"/>
          <w:szCs w:val="20"/>
          <w:lang w:val="pl-PL"/>
        </w:rPr>
        <w:t xml:space="preserve">W ramach realizacji zadania nastąpi przebudowa drogi gminnej nr 782625P i 782629P - ul. Osiedle Robotnicze - w zakresie wykonania nawierzchni jezdni, ciągu pieszo-rowerowego, chodnika, zjazdów oraz odcinkowa budowa kanalizacji deszczowej w celu odwodnienia projektowanej nawierzchni utwardzonej i nieutwardzonej pasa drogowego. Lokalizację sieci kanalizacji zaprojektowano w ciągu komunikacyjnym, który stanowi pas drogi gminnej. </w:t>
      </w:r>
      <w:r w:rsidRPr="001C74D6">
        <w:rPr>
          <w:rFonts w:eastAsia="Times New Roman"/>
          <w:sz w:val="20"/>
          <w:szCs w:val="20"/>
          <w:lang w:val="pl-PL"/>
        </w:rPr>
        <w:br/>
        <w:t>Projektowana nawierzchnia drogi z betonu asfaltowego będzie miała szer. 5,0 m i zostanie wykonana na długości 3,143 km. Nawierzchnię chodnika, ciągu pieszo-rowerowego o szerokości 3,0m oraz zjazdów przewidziano z betonowej kostki brukowej. Planuje się również wykonanie pobocza prawostronnego sz</w:t>
      </w:r>
      <w:r>
        <w:rPr>
          <w:rFonts w:eastAsia="Times New Roman"/>
          <w:sz w:val="20"/>
          <w:szCs w:val="20"/>
          <w:lang w:val="pl-PL"/>
        </w:rPr>
        <w:t xml:space="preserve">er. 0,75m z kruszywa łamanego. </w:t>
      </w:r>
      <w:r w:rsidRPr="001C74D6">
        <w:rPr>
          <w:rFonts w:eastAsia="Times New Roman"/>
          <w:sz w:val="20"/>
          <w:szCs w:val="20"/>
          <w:lang w:val="pl-PL"/>
        </w:rPr>
        <w:t>W ramach realizacji projektu założono częściową likwidację istniejących rowów przydrożnych oraz wyprofilowanie pozostałej ich części. Projekt obejmuje budowę kolektorów kanalizacji deszczowej, do której zostaną odprowadzone wody opadowe i roztopowe, przejęte przez część projektowanych wpustów deszczowych. Pozostała cz</w:t>
      </w:r>
      <w:r>
        <w:rPr>
          <w:rFonts w:eastAsia="Times New Roman"/>
          <w:sz w:val="20"/>
          <w:szCs w:val="20"/>
          <w:lang w:val="pl-PL"/>
        </w:rPr>
        <w:t xml:space="preserve">ęść wpustów zostanie podłączone do </w:t>
      </w:r>
      <w:r w:rsidRPr="001C74D6">
        <w:rPr>
          <w:rFonts w:eastAsia="Times New Roman"/>
          <w:sz w:val="20"/>
          <w:szCs w:val="20"/>
          <w:lang w:val="pl-PL"/>
        </w:rPr>
        <w:t>istniejącego ro</w:t>
      </w:r>
      <w:r>
        <w:rPr>
          <w:rFonts w:eastAsia="Times New Roman"/>
          <w:sz w:val="20"/>
          <w:szCs w:val="20"/>
          <w:lang w:val="pl-PL"/>
        </w:rPr>
        <w:t xml:space="preserve">wu przydrożnego drogi gminnej. </w:t>
      </w:r>
      <w:r w:rsidRPr="001C74D6">
        <w:rPr>
          <w:rFonts w:eastAsia="Times New Roman"/>
          <w:sz w:val="20"/>
          <w:szCs w:val="20"/>
          <w:lang w:val="pl-PL"/>
        </w:rPr>
        <w:t>W celu zwiększenia bezpieczeństwa ruchu na przebudowanej drodze dodatkowo planuje się budowę 2 radarów z tablicami aktywnymi - informującymi o prędkości pojazdu oraz zastosowanie przy przejściu dla pieszych płytek drogowych ostr</w:t>
      </w:r>
      <w:r>
        <w:rPr>
          <w:rFonts w:eastAsia="Times New Roman"/>
          <w:sz w:val="20"/>
          <w:szCs w:val="20"/>
          <w:lang w:val="pl-PL"/>
        </w:rPr>
        <w:t xml:space="preserve">zegawczych oraz kierunkowych. </w:t>
      </w:r>
    </w:p>
    <w:p w:rsidR="001C74D6" w:rsidRDefault="001C74D6" w:rsidP="001C74D6">
      <w:pPr>
        <w:pStyle w:val="Akapitzlist"/>
        <w:spacing w:after="240" w:line="360" w:lineRule="auto"/>
        <w:ind w:left="595"/>
        <w:rPr>
          <w:rFonts w:eastAsia="Times New Roman"/>
          <w:sz w:val="20"/>
          <w:szCs w:val="20"/>
          <w:lang w:val="pl-PL"/>
        </w:rPr>
      </w:pPr>
      <w:r>
        <w:rPr>
          <w:rFonts w:eastAsia="Times New Roman"/>
          <w:sz w:val="20"/>
          <w:szCs w:val="20"/>
          <w:lang w:val="pl-PL"/>
        </w:rPr>
        <w:t xml:space="preserve">Zestawienie parametrów technicznych: </w:t>
      </w:r>
    </w:p>
    <w:p w:rsidR="001C74D6" w:rsidRPr="001C74D6" w:rsidRDefault="001C74D6" w:rsidP="001C74D6">
      <w:pPr>
        <w:pStyle w:val="Akapitzlist"/>
        <w:spacing w:after="240" w:line="360" w:lineRule="auto"/>
        <w:ind w:left="595"/>
        <w:rPr>
          <w:rFonts w:eastAsia="Times New Roman"/>
          <w:sz w:val="20"/>
          <w:szCs w:val="20"/>
          <w:lang w:val="pl-PL"/>
        </w:rPr>
      </w:pPr>
      <w:r w:rsidRPr="001C74D6">
        <w:rPr>
          <w:sz w:val="20"/>
          <w:szCs w:val="20"/>
        </w:rPr>
        <w:t xml:space="preserve">- kategoria drogi: gminna, klasa drogi: L – lokalna, kategoria ruchu: KR2 </w:t>
      </w:r>
      <w:r w:rsidRPr="001C74D6">
        <w:rPr>
          <w:sz w:val="20"/>
          <w:szCs w:val="20"/>
        </w:rPr>
        <w:br/>
        <w:t xml:space="preserve">- długość: 3143,00 m </w:t>
      </w:r>
      <w:r w:rsidRPr="001C74D6">
        <w:rPr>
          <w:sz w:val="20"/>
          <w:szCs w:val="20"/>
        </w:rPr>
        <w:br/>
        <w:t xml:space="preserve">- prędkość projektowa: 30 km/h </w:t>
      </w:r>
      <w:r w:rsidRPr="001C74D6">
        <w:rPr>
          <w:sz w:val="20"/>
          <w:szCs w:val="20"/>
        </w:rPr>
        <w:br/>
        <w:t xml:space="preserve">- szerokość pasa ruchu: 2,50 m </w:t>
      </w:r>
      <w:r w:rsidRPr="001C74D6">
        <w:rPr>
          <w:sz w:val="20"/>
          <w:szCs w:val="20"/>
        </w:rPr>
        <w:br/>
        <w:t xml:space="preserve">- szerokość jezdni: 5,0 m </w:t>
      </w:r>
      <w:r w:rsidRPr="001C74D6">
        <w:rPr>
          <w:sz w:val="20"/>
          <w:szCs w:val="20"/>
        </w:rPr>
        <w:br/>
        <w:t xml:space="preserve">- szerokość ciągu pieszo-rowerowego: 3,0 m </w:t>
      </w:r>
      <w:r w:rsidRPr="001C74D6">
        <w:rPr>
          <w:sz w:val="20"/>
          <w:szCs w:val="20"/>
        </w:rPr>
        <w:br/>
        <w:t xml:space="preserve">- szerokość chodnika: 2,0 m </w:t>
      </w:r>
      <w:r w:rsidRPr="001C74D6">
        <w:rPr>
          <w:sz w:val="20"/>
          <w:szCs w:val="20"/>
        </w:rPr>
        <w:br/>
        <w:t xml:space="preserve">- szerokość poboczy: 0,75 m </w:t>
      </w:r>
      <w:r w:rsidRPr="001C74D6">
        <w:rPr>
          <w:sz w:val="20"/>
          <w:szCs w:val="20"/>
        </w:rPr>
        <w:br/>
        <w:t>- odwodnienie: powierzchniowo do istniejących rowów oraz projektowanej kanalizacji deszczowej</w:t>
      </w:r>
      <w:r w:rsidRPr="001C74D6">
        <w:rPr>
          <w:rFonts w:ascii="Times New Roman" w:eastAsia="Times New Roman" w:hAnsi="Times New Roman" w:cs="Times New Roman"/>
          <w:sz w:val="20"/>
          <w:szCs w:val="20"/>
          <w:lang w:val="pl-PL"/>
        </w:rPr>
        <w:br/>
      </w:r>
      <w:r w:rsidRPr="001C74D6">
        <w:rPr>
          <w:rFonts w:ascii="Times New Roman" w:eastAsia="Times New Roman" w:hAnsi="Times New Roman" w:cs="Times New Roman"/>
          <w:sz w:val="24"/>
          <w:szCs w:val="24"/>
          <w:lang w:val="pl-PL"/>
        </w:rPr>
        <w:lastRenderedPageBreak/>
        <w:br/>
      </w:r>
      <w:r w:rsidRPr="001C74D6">
        <w:rPr>
          <w:rFonts w:ascii="Times New Roman" w:eastAsia="Times New Roman" w:hAnsi="Times New Roman" w:cs="Times New Roman"/>
          <w:b/>
          <w:sz w:val="24"/>
          <w:szCs w:val="24"/>
          <w:u w:val="single"/>
          <w:lang w:val="pl-PL"/>
        </w:rPr>
        <w:t xml:space="preserve">Realizacja zadania planowana jest w 2 etapach: </w:t>
      </w:r>
      <w:r w:rsidRPr="001C74D6">
        <w:rPr>
          <w:rFonts w:ascii="Times New Roman" w:eastAsia="Times New Roman" w:hAnsi="Times New Roman" w:cs="Times New Roman"/>
          <w:b/>
          <w:sz w:val="24"/>
          <w:szCs w:val="24"/>
          <w:u w:val="single"/>
          <w:lang w:val="pl-PL"/>
        </w:rPr>
        <w:br/>
      </w:r>
      <w:r>
        <w:rPr>
          <w:rFonts w:eastAsia="Times New Roman"/>
          <w:sz w:val="20"/>
          <w:szCs w:val="20"/>
          <w:lang w:val="pl-PL"/>
        </w:rPr>
        <w:t>I</w:t>
      </w:r>
      <w:r w:rsidRPr="001C74D6">
        <w:rPr>
          <w:rFonts w:eastAsia="Times New Roman"/>
          <w:sz w:val="20"/>
          <w:szCs w:val="20"/>
          <w:lang w:val="pl-PL"/>
        </w:rPr>
        <w:t xml:space="preserve">. Pierwszy z nich, zaplanowany do wykonania </w:t>
      </w:r>
      <w:r w:rsidRPr="00653761">
        <w:rPr>
          <w:rFonts w:eastAsia="Times New Roman"/>
          <w:sz w:val="20"/>
          <w:szCs w:val="20"/>
          <w:lang w:val="pl-PL"/>
        </w:rPr>
        <w:t>do 30 października  2022,</w:t>
      </w:r>
      <w:r w:rsidRPr="001C74D6">
        <w:rPr>
          <w:rFonts w:eastAsia="Times New Roman"/>
          <w:sz w:val="20"/>
          <w:szCs w:val="20"/>
          <w:lang w:val="pl-PL"/>
        </w:rPr>
        <w:t xml:space="preserve"> dotyczyć będzie wykonania robót drogowych od km 0+000 do 1+850 (droga 782629P na odcinku  od 0+000 do 0+374 oraz droga 782625P na odcinku od 0+000 do 1+476) oraz kanalizacji deszczowej w zakresie kolektora kana</w:t>
      </w:r>
      <w:r>
        <w:rPr>
          <w:rFonts w:eastAsia="Times New Roman"/>
          <w:sz w:val="20"/>
          <w:szCs w:val="20"/>
          <w:lang w:val="pl-PL"/>
        </w:rPr>
        <w:t xml:space="preserve">lizacji deszczowej D-1 i D-2. </w:t>
      </w:r>
      <w:r>
        <w:rPr>
          <w:rFonts w:eastAsia="Times New Roman"/>
          <w:sz w:val="20"/>
          <w:szCs w:val="20"/>
          <w:lang w:val="pl-PL"/>
        </w:rPr>
        <w:br/>
        <w:t>II</w:t>
      </w:r>
      <w:r w:rsidRPr="001C74D6">
        <w:rPr>
          <w:rFonts w:eastAsia="Times New Roman"/>
          <w:sz w:val="20"/>
          <w:szCs w:val="20"/>
          <w:lang w:val="pl-PL"/>
        </w:rPr>
        <w:t xml:space="preserve">. Drugi z nich, zaplanowany do wykonania w roku 2023, dotyczyć będzie wykonania robót drogowych od km 1+850 do 3+143 (droga 782625P na odcinku od 1+476 do 2+769)oraz kanalizacji deszczowej w zakresie kolektora kanalizacji deszczowej D-3, D-4, D-5, D-6. </w:t>
      </w:r>
    </w:p>
    <w:p w:rsidR="00A70F4A" w:rsidRDefault="00A70F4A" w:rsidP="00C17B03">
      <w:pPr>
        <w:pStyle w:val="Default"/>
        <w:spacing w:line="360" w:lineRule="auto"/>
        <w:rPr>
          <w:rFonts w:ascii="Arial" w:hAnsi="Arial" w:cs="Arial"/>
          <w:b/>
          <w:iCs/>
          <w:sz w:val="20"/>
          <w:szCs w:val="20"/>
        </w:rPr>
      </w:pPr>
      <w:r>
        <w:rPr>
          <w:rFonts w:ascii="Arial" w:hAnsi="Arial" w:cs="Arial"/>
          <w:b/>
          <w:iCs/>
          <w:sz w:val="20"/>
          <w:szCs w:val="20"/>
        </w:rPr>
        <w:t>Szczegółowy zakres i rodzaj prac przewidzianych do wykonania w ramach przedmiotu zamówienia przedstawiony została:</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4E4452">
        <w:rPr>
          <w:rFonts w:ascii="Arial" w:hAnsi="Arial" w:cs="Arial"/>
          <w:b/>
          <w:iCs/>
          <w:sz w:val="20"/>
          <w:szCs w:val="20"/>
        </w:rPr>
        <w:t xml:space="preserve">, branża drogowa, kanalizacyjna </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Szczegółowych specyfikacjach technicznych</w:t>
      </w:r>
      <w:r w:rsidR="004E4452">
        <w:rPr>
          <w:rFonts w:ascii="Arial" w:hAnsi="Arial" w:cs="Arial"/>
          <w:b/>
          <w:iCs/>
          <w:sz w:val="20"/>
          <w:szCs w:val="20"/>
        </w:rPr>
        <w:t xml:space="preserve"> (drogowa, kanalizacyjna) </w:t>
      </w:r>
    </w:p>
    <w:p w:rsidR="00A70F4A" w:rsidRDefault="00CA52DB"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Przedmiar robót (drogowa, kanalizacyjna z podziałem na etap I </w:t>
      </w:r>
      <w:proofErr w:type="spellStart"/>
      <w:r>
        <w:rPr>
          <w:rFonts w:ascii="Arial" w:hAnsi="Arial" w:cs="Arial"/>
          <w:b/>
          <w:iCs/>
          <w:sz w:val="20"/>
          <w:szCs w:val="20"/>
        </w:rPr>
        <w:t>i</w:t>
      </w:r>
      <w:proofErr w:type="spellEnd"/>
      <w:r>
        <w:rPr>
          <w:rFonts w:ascii="Arial" w:hAnsi="Arial" w:cs="Arial"/>
          <w:b/>
          <w:iCs/>
          <w:sz w:val="20"/>
          <w:szCs w:val="20"/>
        </w:rPr>
        <w:t xml:space="preserve"> II)</w:t>
      </w:r>
      <w:r w:rsidR="00A70F4A">
        <w:rPr>
          <w:rFonts w:ascii="Arial" w:hAnsi="Arial" w:cs="Arial"/>
          <w:b/>
          <w:iCs/>
          <w:sz w:val="20"/>
          <w:szCs w:val="20"/>
        </w:rPr>
        <w:t xml:space="preserve"> </w:t>
      </w:r>
    </w:p>
    <w:p w:rsidR="00222A92" w:rsidRDefault="00222A92"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Projekt stałej organizacji ruchu </w:t>
      </w:r>
    </w:p>
    <w:p w:rsidR="004D7B29" w:rsidRPr="009C2090" w:rsidRDefault="004D7B29" w:rsidP="004D7B29">
      <w:pPr>
        <w:pStyle w:val="Default"/>
        <w:spacing w:line="360" w:lineRule="auto"/>
        <w:ind w:left="720"/>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zgodnie z art. 104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9C2090" w:rsidRPr="004D7B29" w:rsidRDefault="009C2090" w:rsidP="004D7B29">
      <w:pPr>
        <w:pStyle w:val="Default"/>
        <w:spacing w:line="360" w:lineRule="auto"/>
        <w:jc w:val="both"/>
        <w:rPr>
          <w:rFonts w:ascii="Arial" w:hAnsi="Arial" w:cs="Arial"/>
          <w:iCs/>
          <w:sz w:val="20"/>
          <w:szCs w:val="20"/>
        </w:rPr>
      </w:pPr>
    </w:p>
    <w:p w:rsidR="00A70F4A" w:rsidRPr="00A70F4A" w:rsidRDefault="00A70F4A" w:rsidP="00C17B03">
      <w:pPr>
        <w:pStyle w:val="Default"/>
        <w:spacing w:line="360" w:lineRule="auto"/>
        <w:rPr>
          <w:rFonts w:ascii="Arial" w:hAnsi="Arial" w:cs="Arial"/>
          <w:b/>
          <w:sz w:val="20"/>
          <w:szCs w:val="20"/>
        </w:rPr>
      </w:pPr>
    </w:p>
    <w:p w:rsidR="00036855" w:rsidRPr="001C74D6" w:rsidRDefault="00C9038A" w:rsidP="00C9038A">
      <w:pPr>
        <w:spacing w:line="360" w:lineRule="auto"/>
        <w:jc w:val="both"/>
        <w:rPr>
          <w:sz w:val="20"/>
          <w:szCs w:val="20"/>
          <w:u w:val="single"/>
        </w:rPr>
      </w:pPr>
      <w:r w:rsidRPr="001C74D6">
        <w:rPr>
          <w:b/>
          <w:sz w:val="20"/>
          <w:szCs w:val="20"/>
        </w:rPr>
        <w:lastRenderedPageBreak/>
        <w:t>3</w:t>
      </w:r>
      <w:r>
        <w:rPr>
          <w:sz w:val="20"/>
          <w:szCs w:val="20"/>
        </w:rPr>
        <w:t xml:space="preserve">.      </w:t>
      </w:r>
      <w:r w:rsidR="007E5D95" w:rsidRPr="001C74D6">
        <w:rPr>
          <w:sz w:val="20"/>
          <w:szCs w:val="20"/>
          <w:u w:val="single"/>
        </w:rPr>
        <w:t>Wspólny Słownik Zamówień CPV:</w:t>
      </w:r>
    </w:p>
    <w:p w:rsidR="006903C7" w:rsidRDefault="00020108" w:rsidP="006903C7">
      <w:pPr>
        <w:pStyle w:val="Akapitzlist"/>
        <w:spacing w:line="360" w:lineRule="auto"/>
        <w:ind w:left="595"/>
        <w:rPr>
          <w:rFonts w:eastAsia="Times New Roman"/>
          <w:sz w:val="20"/>
          <w:szCs w:val="20"/>
        </w:rPr>
      </w:pPr>
      <w:r>
        <w:rPr>
          <w:rFonts w:eastAsia="Times New Roman"/>
          <w:sz w:val="20"/>
          <w:szCs w:val="20"/>
        </w:rPr>
        <w:t>45233252-0</w:t>
      </w:r>
      <w:r w:rsidR="007703E7">
        <w:rPr>
          <w:rFonts w:eastAsia="Times New Roman"/>
          <w:sz w:val="20"/>
          <w:szCs w:val="20"/>
        </w:rPr>
        <w:t xml:space="preserve">   Roboty w zakresie nawierzchni ulic </w:t>
      </w:r>
    </w:p>
    <w:p w:rsidR="00A70F4A" w:rsidRPr="006903C7" w:rsidRDefault="00A70F4A" w:rsidP="006903C7">
      <w:pPr>
        <w:pStyle w:val="Akapitzlist"/>
        <w:spacing w:line="360" w:lineRule="auto"/>
        <w:ind w:left="595"/>
        <w:rPr>
          <w:rFonts w:eastAsia="Times New Roman"/>
          <w:sz w:val="20"/>
          <w:szCs w:val="20"/>
        </w:rPr>
      </w:pPr>
      <w:r>
        <w:rPr>
          <w:rFonts w:eastAsia="Times New Roman"/>
          <w:sz w:val="20"/>
          <w:szCs w:val="20"/>
        </w:rPr>
        <w:t>45111200-0   Roboty w zakresie przygotowania terenu pod budowę i roboty ziemne</w:t>
      </w:r>
    </w:p>
    <w:p w:rsidR="006903C7" w:rsidRPr="0007382B" w:rsidRDefault="007703E7" w:rsidP="0007382B">
      <w:pPr>
        <w:pStyle w:val="Akapitzlist"/>
        <w:spacing w:line="360" w:lineRule="auto"/>
        <w:ind w:left="595"/>
        <w:rPr>
          <w:rFonts w:eastAsia="Times New Roman"/>
          <w:sz w:val="20"/>
          <w:szCs w:val="20"/>
        </w:rPr>
      </w:pPr>
      <w:r>
        <w:rPr>
          <w:rFonts w:eastAsia="Times New Roman"/>
          <w:sz w:val="20"/>
          <w:szCs w:val="20"/>
        </w:rPr>
        <w:t xml:space="preserve">45232130-2 Roboty budowlane w zakresie rurociągów do odprowadzania wody burzowej. </w:t>
      </w:r>
    </w:p>
    <w:p w:rsidR="006903C7" w:rsidRPr="00F52BBD" w:rsidRDefault="006903C7" w:rsidP="006903C7">
      <w:pPr>
        <w:spacing w:line="360" w:lineRule="auto"/>
        <w:ind w:left="434"/>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zamówienia, jak również skutkować poważnymi trudnościami w egzekwowaniu uprawnień Zamawiającego związanych z udzieloną przez wykonawców na poszczególne części przedmiotu zamówienia gwarancją i rękojmią</w:t>
      </w:r>
      <w:r w:rsidR="005530EA" w:rsidRPr="005530EA">
        <w:rPr>
          <w:bCs/>
          <w:iCs/>
          <w:color w:val="000000"/>
          <w:sz w:val="20"/>
          <w:szCs w:val="20"/>
        </w:rPr>
        <w:t xml:space="preserve">.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  (Dz. U. z 2021 r. poz. 779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bookmarkStart w:id="4" w:name="_Toc66783030"/>
      <w:r>
        <w:t>V. Wizja lokalna</w:t>
      </w:r>
      <w:bookmarkEnd w:id="4"/>
    </w:p>
    <w:p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w:t>
      </w:r>
      <w:r w:rsidR="00576BC3">
        <w:rPr>
          <w:sz w:val="20"/>
          <w:szCs w:val="20"/>
        </w:rPr>
        <w:lastRenderedPageBreak/>
        <w:t xml:space="preserve">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576BC3" w:rsidRDefault="00576BC3" w:rsidP="00576BC3">
      <w:pPr>
        <w:spacing w:line="360" w:lineRule="auto"/>
        <w:ind w:left="453"/>
        <w:jc w:val="both"/>
        <w:rPr>
          <w:sz w:val="20"/>
          <w:szCs w:val="20"/>
        </w:rPr>
      </w:pPr>
    </w:p>
    <w:p w:rsidR="00D92D65" w:rsidRDefault="007E5D95">
      <w:pPr>
        <w:pStyle w:val="Nagwek2"/>
      </w:pPr>
      <w:bookmarkStart w:id="6" w:name="_Toc66783032"/>
      <w:r>
        <w:t>VII. Termin wykonania zamówienia</w:t>
      </w:r>
      <w:bookmarkEnd w:id="6"/>
    </w:p>
    <w:p w:rsidR="00D92D65" w:rsidRPr="00653761" w:rsidRDefault="00576BC3" w:rsidP="001939E0">
      <w:pPr>
        <w:numPr>
          <w:ilvl w:val="0"/>
          <w:numId w:val="13"/>
        </w:numPr>
        <w:spacing w:before="240" w:line="360" w:lineRule="auto"/>
        <w:ind w:left="426"/>
        <w:jc w:val="both"/>
        <w:rPr>
          <w:sz w:val="20"/>
          <w:szCs w:val="20"/>
          <w:u w:val="single"/>
        </w:rPr>
      </w:pPr>
      <w:r>
        <w:rPr>
          <w:sz w:val="20"/>
          <w:szCs w:val="20"/>
        </w:rPr>
        <w:t xml:space="preserve">Zamówienie musi być zrealizowane w terminie: </w:t>
      </w:r>
      <w:r w:rsidRPr="00653761">
        <w:rPr>
          <w:b/>
          <w:sz w:val="20"/>
          <w:szCs w:val="20"/>
          <w:u w:val="single"/>
        </w:rPr>
        <w:t>do</w:t>
      </w:r>
      <w:r w:rsidR="001939E0">
        <w:rPr>
          <w:b/>
          <w:sz w:val="20"/>
          <w:szCs w:val="20"/>
          <w:u w:val="single"/>
        </w:rPr>
        <w:t xml:space="preserve"> 16 miesięcy od daty udzielenia </w:t>
      </w:r>
      <w:r w:rsidRPr="00653761">
        <w:rPr>
          <w:b/>
          <w:sz w:val="20"/>
          <w:szCs w:val="20"/>
          <w:u w:val="single"/>
        </w:rPr>
        <w:t xml:space="preserve">zamówienia. </w:t>
      </w:r>
    </w:p>
    <w:p w:rsidR="00D92D65" w:rsidRPr="00F022A8"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nr </w:t>
      </w:r>
      <w:r w:rsidR="004127ED" w:rsidRPr="00F022A8">
        <w:rPr>
          <w:sz w:val="20"/>
          <w:szCs w:val="20"/>
        </w:rPr>
        <w:t>7</w:t>
      </w:r>
      <w:r w:rsidR="007E5D95" w:rsidRPr="00F022A8">
        <w:rPr>
          <w:sz w:val="20"/>
          <w:szCs w:val="20"/>
        </w:rPr>
        <w:t>do SWZ.</w:t>
      </w:r>
    </w:p>
    <w:p w:rsidR="00D92D65" w:rsidRDefault="007E5D95">
      <w:pPr>
        <w:pStyle w:val="Nagwek2"/>
        <w:tabs>
          <w:tab w:val="left" w:pos="0"/>
        </w:tabs>
      </w:pPr>
      <w:bookmarkStart w:id="7" w:name="_Toc66783033"/>
      <w:r>
        <w:t>VIII. Warunki udziału w postępowaniu</w:t>
      </w:r>
      <w:bookmarkEnd w:id="7"/>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6B2F46">
      <w:pPr>
        <w:spacing w:line="360" w:lineRule="auto"/>
        <w:ind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xml:space="preserve">, odpowiadających swoim rodzajem robocie budowlanej objętej przedmiotem zamówienia publicznego, przez co Zamawiający rozumie wykonanie w okresie 5 lat przed upływem terminu składania ofert, a jeżeli okres prowadzenia działalności jest krótszy – w tym okresie </w:t>
      </w:r>
      <w:r>
        <w:rPr>
          <w:b/>
          <w:sz w:val="20"/>
          <w:szCs w:val="20"/>
          <w:u w:val="single"/>
        </w:rPr>
        <w:t xml:space="preserve">co najmniej 1 (jedną) robotę budowlaną polegająca na budowie i/lub przebudowie i/lub remoncie </w:t>
      </w:r>
      <w:r w:rsidR="0027599C">
        <w:rPr>
          <w:b/>
          <w:sz w:val="20"/>
          <w:szCs w:val="20"/>
          <w:u w:val="single"/>
        </w:rPr>
        <w:t xml:space="preserve">i/lub rozbudowie </w:t>
      </w:r>
      <w:r>
        <w:rPr>
          <w:b/>
          <w:sz w:val="20"/>
          <w:szCs w:val="20"/>
          <w:u w:val="single"/>
        </w:rPr>
        <w:t>dróg/drogi o nawierzchni bitumicznej wraz z budową kanalizacji deszczowej o wartości co na</w:t>
      </w:r>
      <w:r w:rsidR="0027599C">
        <w:rPr>
          <w:b/>
          <w:sz w:val="20"/>
          <w:szCs w:val="20"/>
          <w:u w:val="single"/>
        </w:rPr>
        <w:t>jmniej 1 000</w:t>
      </w:r>
      <w:r>
        <w:rPr>
          <w:b/>
          <w:sz w:val="20"/>
          <w:szCs w:val="20"/>
          <w:u w:val="single"/>
        </w:rPr>
        <w:t xml:space="preserve"> 000,00 zł. </w:t>
      </w:r>
      <w:r w:rsidR="00FF111F">
        <w:rPr>
          <w:b/>
          <w:sz w:val="20"/>
          <w:szCs w:val="20"/>
          <w:u w:val="single"/>
        </w:rPr>
        <w:t xml:space="preserve">w ramach jednej umowy.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t>
      </w:r>
      <w:r w:rsidR="008B025E">
        <w:rPr>
          <w:sz w:val="20"/>
          <w:szCs w:val="20"/>
        </w:rPr>
        <w:lastRenderedPageBreak/>
        <w:t xml:space="preserve">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952BB2" w:rsidRDefault="00F536D4" w:rsidP="0083520A">
      <w:pPr>
        <w:pStyle w:val="Akapitzlist"/>
        <w:numPr>
          <w:ilvl w:val="0"/>
          <w:numId w:val="25"/>
        </w:numPr>
        <w:spacing w:line="360" w:lineRule="auto"/>
        <w:ind w:right="20"/>
        <w:jc w:val="both"/>
        <w:rPr>
          <w:b/>
          <w:sz w:val="20"/>
          <w:szCs w:val="20"/>
        </w:rPr>
      </w:pPr>
      <w:r w:rsidRPr="00952BB2">
        <w:rPr>
          <w:b/>
          <w:sz w:val="20"/>
          <w:szCs w:val="20"/>
        </w:rPr>
        <w:t>1 osobą posiadającą uprawnienia budowlane</w:t>
      </w:r>
      <w:r w:rsidRPr="00952BB2">
        <w:rPr>
          <w:sz w:val="20"/>
          <w:szCs w:val="20"/>
        </w:rPr>
        <w:t xml:space="preserve"> zgodnie z ustawą Prawo Budowlane z dnia 7 lipca 1994 </w:t>
      </w:r>
      <w:r w:rsidRPr="00952BB2">
        <w:rPr>
          <w:b/>
          <w:sz w:val="20"/>
          <w:szCs w:val="20"/>
        </w:rPr>
        <w:t>do kie</w:t>
      </w:r>
      <w:r w:rsidR="00952BB2" w:rsidRPr="00952BB2">
        <w:rPr>
          <w:b/>
          <w:sz w:val="20"/>
          <w:szCs w:val="20"/>
        </w:rPr>
        <w:t>rowania robotami budowlanymi bez ograniczeń</w:t>
      </w:r>
      <w:r w:rsidR="00357E6A">
        <w:rPr>
          <w:b/>
          <w:sz w:val="20"/>
          <w:szCs w:val="20"/>
        </w:rPr>
        <w:t xml:space="preserve"> </w:t>
      </w:r>
      <w:r w:rsidR="00952BB2" w:rsidRPr="00952BB2">
        <w:rPr>
          <w:b/>
          <w:sz w:val="20"/>
          <w:szCs w:val="20"/>
        </w:rPr>
        <w:t xml:space="preserve"> w specjalności drogowej lub równoważne wydane na podstawie wcześniej obowiązujących przepisów  (kierownik budowy</w:t>
      </w:r>
      <w:r w:rsidRPr="00952BB2">
        <w:rPr>
          <w:b/>
          <w:sz w:val="20"/>
          <w:szCs w:val="20"/>
        </w:rPr>
        <w:t xml:space="preserve">) </w:t>
      </w:r>
    </w:p>
    <w:p w:rsidR="00F536D4" w:rsidRPr="00952BB2" w:rsidRDefault="00F536D4" w:rsidP="0083520A">
      <w:pPr>
        <w:pStyle w:val="Akapitzlist"/>
        <w:numPr>
          <w:ilvl w:val="0"/>
          <w:numId w:val="25"/>
        </w:numPr>
        <w:spacing w:line="360" w:lineRule="auto"/>
        <w:ind w:right="20"/>
        <w:rPr>
          <w:b/>
          <w:sz w:val="20"/>
          <w:szCs w:val="20"/>
        </w:rPr>
      </w:pPr>
      <w:r w:rsidRPr="00952BB2">
        <w:rPr>
          <w:sz w:val="20"/>
          <w:szCs w:val="20"/>
        </w:rPr>
        <w:t xml:space="preserve">dysponuje lub będzie dysponował osobami skierowanymi przez wykonawcę do realizacji zamówienia publicznego tj. co najmniej </w:t>
      </w:r>
      <w:r w:rsidRPr="00952BB2">
        <w:rPr>
          <w:b/>
          <w:sz w:val="20"/>
          <w:szCs w:val="20"/>
        </w:rPr>
        <w:t xml:space="preserve">1 osobą posiadającą uprawnienia budowlane do kierowania robotami w specjalności </w:t>
      </w:r>
      <w:r w:rsidR="002801E2">
        <w:rPr>
          <w:b/>
          <w:sz w:val="20"/>
          <w:szCs w:val="20"/>
        </w:rPr>
        <w:t>instalacyjne</w:t>
      </w:r>
      <w:r w:rsidR="002214A8">
        <w:rPr>
          <w:b/>
          <w:sz w:val="20"/>
          <w:szCs w:val="20"/>
        </w:rPr>
        <w:t xml:space="preserve">j w zakresie sieci instalacji </w:t>
      </w:r>
      <w:r w:rsidR="002801E2">
        <w:rPr>
          <w:b/>
          <w:sz w:val="20"/>
          <w:szCs w:val="20"/>
        </w:rPr>
        <w:t xml:space="preserve"> </w:t>
      </w:r>
      <w:r w:rsidR="002801E2" w:rsidRPr="00110EBB">
        <w:rPr>
          <w:b/>
          <w:sz w:val="20"/>
          <w:szCs w:val="20"/>
        </w:rPr>
        <w:t>urządzeń</w:t>
      </w:r>
      <w:r w:rsidR="002801E2">
        <w:rPr>
          <w:b/>
          <w:sz w:val="20"/>
          <w:szCs w:val="20"/>
        </w:rPr>
        <w:t xml:space="preserve"> kanalizacyjnych</w:t>
      </w:r>
      <w:r w:rsidR="000635D7" w:rsidRPr="00952BB2">
        <w:rPr>
          <w:b/>
          <w:sz w:val="20"/>
          <w:szCs w:val="20"/>
        </w:rPr>
        <w:t>,</w:t>
      </w:r>
      <w:r w:rsidR="00C84F41" w:rsidRPr="00952BB2">
        <w:rPr>
          <w:b/>
          <w:sz w:val="20"/>
          <w:szCs w:val="20"/>
        </w:rPr>
        <w:t xml:space="preserve"> be</w:t>
      </w:r>
      <w:r w:rsidR="002801E2">
        <w:rPr>
          <w:b/>
          <w:sz w:val="20"/>
          <w:szCs w:val="20"/>
        </w:rPr>
        <w:t xml:space="preserve">z ograniczeń </w:t>
      </w:r>
      <w:r w:rsidR="00110EBB">
        <w:rPr>
          <w:b/>
          <w:sz w:val="20"/>
          <w:szCs w:val="20"/>
        </w:rPr>
        <w:br/>
      </w:r>
      <w:r w:rsidR="002801E2">
        <w:rPr>
          <w:b/>
          <w:sz w:val="20"/>
          <w:szCs w:val="20"/>
        </w:rPr>
        <w:t>( kierownik robót sanitarnych)</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8" w:name="_Toc66783034"/>
      <w:r>
        <w:lastRenderedPageBreak/>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7E5D95" w:rsidP="0083520A">
      <w:pPr>
        <w:numPr>
          <w:ilvl w:val="0"/>
          <w:numId w:val="17"/>
        </w:numPr>
        <w:spacing w:line="360" w:lineRule="auto"/>
        <w:ind w:left="812" w:hanging="386"/>
        <w:jc w:val="both"/>
        <w:rPr>
          <w:b/>
          <w:sz w:val="20"/>
          <w:szCs w:val="20"/>
        </w:rPr>
      </w:pPr>
      <w:r w:rsidRPr="00C4253E">
        <w:rPr>
          <w:b/>
          <w:sz w:val="20"/>
          <w:szCs w:val="20"/>
        </w:rPr>
        <w:t xml:space="preserve">w art. 108 ust. 1 PZP </w:t>
      </w:r>
    </w:p>
    <w:p w:rsidR="006539BA" w:rsidRPr="00C4253E" w:rsidRDefault="006539BA" w:rsidP="0083520A">
      <w:pPr>
        <w:numPr>
          <w:ilvl w:val="0"/>
          <w:numId w:val="17"/>
        </w:numPr>
        <w:spacing w:line="360" w:lineRule="auto"/>
        <w:ind w:left="812" w:hanging="386"/>
        <w:jc w:val="both"/>
        <w:rPr>
          <w:b/>
          <w:sz w:val="20"/>
          <w:szCs w:val="20"/>
        </w:rPr>
      </w:pPr>
      <w:r>
        <w:rPr>
          <w:b/>
          <w:sz w:val="20"/>
          <w:szCs w:val="20"/>
        </w:rPr>
        <w:t>w art. 7 ust.1 ustawy z dnia 13 kwietnia 2022r. O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bookmarkStart w:id="9" w:name="_GoBack"/>
      <w:bookmarkEnd w:id="9"/>
      <w:r w:rsidR="001939E0">
        <w:rPr>
          <w:b/>
          <w:sz w:val="20"/>
          <w:szCs w:val="20"/>
        </w:rPr>
        <w:t xml:space="preserve">przesłanka obligatoryjna. </w:t>
      </w: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10"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10"/>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Pr="00E16841"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D92D65" w:rsidRDefault="007E5D95" w:rsidP="0083520A">
      <w:pPr>
        <w:numPr>
          <w:ilvl w:val="2"/>
          <w:numId w:val="15"/>
        </w:numPr>
        <w:spacing w:line="360" w:lineRule="auto"/>
        <w:ind w:left="710" w:hanging="435"/>
        <w:jc w:val="both"/>
        <w:rPr>
          <w:sz w:val="20"/>
          <w:szCs w:val="20"/>
        </w:rPr>
      </w:pPr>
      <w:r>
        <w:rPr>
          <w:sz w:val="20"/>
          <w:szCs w:val="20"/>
        </w:rPr>
        <w:lastRenderedPageBreak/>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E16841" w:rsidRPr="004127ED" w:rsidRDefault="00E16841" w:rsidP="0083520A">
      <w:pPr>
        <w:numPr>
          <w:ilvl w:val="2"/>
          <w:numId w:val="15"/>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xml:space="preserve">, o których mowa w art. 125 ust. 1 ustawy </w:t>
      </w:r>
      <w:proofErr w:type="spellStart"/>
      <w:r>
        <w:rPr>
          <w:sz w:val="20"/>
          <w:szCs w:val="20"/>
        </w:rPr>
        <w:t>Pzp</w:t>
      </w:r>
      <w:proofErr w:type="spellEnd"/>
      <w:r>
        <w:rPr>
          <w:sz w:val="20"/>
          <w:szCs w:val="20"/>
        </w:rPr>
        <w:t xml:space="preserve"> w zakresie podstaw wykluczenia z postępowania na podstawie art. 108 ust. 1 ustawy </w:t>
      </w:r>
      <w:proofErr w:type="spellStart"/>
      <w:r>
        <w:rPr>
          <w:sz w:val="20"/>
          <w:szCs w:val="20"/>
        </w:rPr>
        <w:t>Pzp</w:t>
      </w:r>
      <w:proofErr w:type="spellEnd"/>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E16841" w:rsidRDefault="00E16841" w:rsidP="0083520A">
      <w:pPr>
        <w:numPr>
          <w:ilvl w:val="2"/>
          <w:numId w:val="15"/>
        </w:numPr>
        <w:spacing w:line="360" w:lineRule="auto"/>
        <w:ind w:left="710" w:hanging="435"/>
        <w:jc w:val="both"/>
        <w:rPr>
          <w:b/>
          <w:sz w:val="20"/>
          <w:szCs w:val="20"/>
        </w:rPr>
      </w:pPr>
      <w:r w:rsidRPr="004127ED">
        <w:rPr>
          <w:b/>
          <w:sz w:val="20"/>
          <w:szCs w:val="20"/>
        </w:rPr>
        <w:t>Odpis lub informację z Krajowego Rejestru Sądowego lub z centralnej Ewidencji i Informacji o Działalności Gospodarczej, sporządzone nie wcześniej niż 3 miesiące przed ich złożeniem,</w:t>
      </w:r>
      <w:r>
        <w:rPr>
          <w:sz w:val="20"/>
          <w:szCs w:val="20"/>
        </w:rPr>
        <w:t xml:space="preserve"> jeżeli odrębne przepisy wymagają w</w:t>
      </w:r>
      <w:r w:rsidR="00FC2CC3">
        <w:rPr>
          <w:sz w:val="20"/>
          <w:szCs w:val="20"/>
        </w:rPr>
        <w:t xml:space="preserve">pisu do rejestru lub ewidencji, w zakresie podstaw wykluczenia z postępowania na podstawie art. 109 ust. 1 pkt. 4 ustawy </w:t>
      </w:r>
      <w:proofErr w:type="spellStart"/>
      <w:r w:rsidR="00FC2CC3">
        <w:rPr>
          <w:sz w:val="20"/>
          <w:szCs w:val="20"/>
        </w:rPr>
        <w:t>Pzp</w:t>
      </w:r>
      <w:proofErr w:type="spellEnd"/>
      <w:r w:rsidR="00FC2CC3">
        <w:rPr>
          <w:sz w:val="20"/>
          <w:szCs w:val="20"/>
        </w:rPr>
        <w:t>. Jeżeli Wykonawca ma siedzibę lub miejsce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lastRenderedPageBreak/>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7E5D95">
      <w:pPr>
        <w:pStyle w:val="Nagwek2"/>
      </w:pPr>
      <w:bookmarkStart w:id="11" w:name="_Toc66783036"/>
      <w:r>
        <w:t>XI. Poleganie na zasobach innych podmiotów</w:t>
      </w:r>
      <w:bookmarkEnd w:id="11"/>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2" w:name="_Toc66783037"/>
      <w:r>
        <w:t>XII. Informacja dla Wykonawców wspólnie ubiegających się o udzielenie zamówienia</w:t>
      </w:r>
      <w:r w:rsidR="00D15377">
        <w:t>.</w:t>
      </w:r>
      <w:bookmarkEnd w:id="12"/>
    </w:p>
    <w:p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Default="007E5D95" w:rsidP="0083520A">
      <w:pPr>
        <w:numPr>
          <w:ilvl w:val="0"/>
          <w:numId w:val="14"/>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83520A">
      <w:pPr>
        <w:numPr>
          <w:ilvl w:val="0"/>
          <w:numId w:val="14"/>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rsidP="0083520A">
      <w:pPr>
        <w:numPr>
          <w:ilvl w:val="0"/>
          <w:numId w:val="14"/>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3" w:name="_Toc66783038"/>
      <w:r w:rsidRPr="0077324D">
        <w:lastRenderedPageBreak/>
        <w:t xml:space="preserve">XIII. </w:t>
      </w:r>
      <w:bookmarkEnd w:id="13"/>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0D0291">
        <w:rPr>
          <w:sz w:val="20"/>
          <w:szCs w:val="20"/>
        </w:rPr>
        <w:t>zamówienia: Pan Rafał Czeszyński</w:t>
      </w:r>
      <w:r w:rsidR="00524E82">
        <w:rPr>
          <w:sz w:val="20"/>
          <w:szCs w:val="20"/>
        </w:rPr>
        <w:t xml:space="preserve">,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0D0291">
        <w:rPr>
          <w:sz w:val="20"/>
          <w:szCs w:val="20"/>
        </w:rPr>
        <w:t>ZP.271.5.2022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lastRenderedPageBreak/>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4" w:name="_Toc66783039"/>
      <w:r>
        <w:t xml:space="preserve">XIV. Opis sposobu przygotowania ofert oraz </w:t>
      </w:r>
      <w:bookmarkEnd w:id="14"/>
      <w:r w:rsidR="00351D6A">
        <w:t xml:space="preserve">wymagania formalne dotyczące składanych oświadczeń i dokumentów </w:t>
      </w:r>
    </w:p>
    <w:p w:rsidR="00351D6A" w:rsidRPr="00351D6A" w:rsidRDefault="00351D6A" w:rsidP="0083520A">
      <w:pPr>
        <w:pStyle w:val="Akapitzlist"/>
        <w:numPr>
          <w:ilvl w:val="0"/>
          <w:numId w:val="23"/>
        </w:numPr>
        <w:spacing w:line="360" w:lineRule="auto"/>
        <w:jc w:val="both"/>
        <w:rPr>
          <w:sz w:val="20"/>
          <w:szCs w:val="20"/>
        </w:rPr>
      </w:pPr>
      <w:r w:rsidRPr="00351D6A">
        <w:rPr>
          <w:sz w:val="20"/>
          <w:szCs w:val="20"/>
        </w:rPr>
        <w:t xml:space="preserve">Wykonawca może złożyć tylko jedną ofertę. </w:t>
      </w:r>
    </w:p>
    <w:p w:rsidR="00351D6A" w:rsidRDefault="00351D6A" w:rsidP="0083520A">
      <w:pPr>
        <w:pStyle w:val="Akapitzlist"/>
        <w:numPr>
          <w:ilvl w:val="0"/>
          <w:numId w:val="23"/>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83520A">
      <w:pPr>
        <w:pStyle w:val="Akapitzlist"/>
        <w:numPr>
          <w:ilvl w:val="0"/>
          <w:numId w:val="23"/>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1) oświadczenia, o których mowa w Rozdziale X ust. 1 SWZ</w:t>
      </w:r>
      <w:r w:rsidRPr="00C124A4">
        <w:rPr>
          <w:b/>
          <w:sz w:val="20"/>
          <w:szCs w:val="20"/>
        </w:rPr>
        <w:t xml:space="preserve">; </w:t>
      </w:r>
      <w:r w:rsidR="00C124A4" w:rsidRPr="00C124A4">
        <w:rPr>
          <w:b/>
          <w:sz w:val="20"/>
          <w:szCs w:val="20"/>
        </w:rPr>
        <w:t>(Załącznik nr 2 do SWZ)</w:t>
      </w:r>
      <w:r w:rsidR="00C124A4">
        <w:rPr>
          <w:sz w:val="20"/>
          <w:szCs w:val="20"/>
        </w:rPr>
        <w:t xml:space="preserve"> </w:t>
      </w:r>
    </w:p>
    <w:p w:rsidR="00351D6A" w:rsidRDefault="00351D6A" w:rsidP="00351D6A">
      <w:pPr>
        <w:pStyle w:val="Akapitzlist"/>
        <w:spacing w:line="360" w:lineRule="auto"/>
        <w:jc w:val="both"/>
        <w:rPr>
          <w:sz w:val="20"/>
          <w:szCs w:val="20"/>
        </w:rPr>
      </w:pPr>
      <w:r w:rsidRPr="00351D6A">
        <w:rPr>
          <w:sz w:val="20"/>
          <w:szCs w:val="20"/>
        </w:rPr>
        <w:t>2) zobowiązanie innego podmiotu, o którym mowa w Rozdziale XI ust. 3 SWZ (jeżeli dotyczy); 3) dokumenty, z których wynika prawo do podpisania ofe</w:t>
      </w:r>
      <w:r>
        <w:rPr>
          <w:sz w:val="20"/>
          <w:szCs w:val="20"/>
        </w:rPr>
        <w:t>rty; odpowiednie pełnomocnictwa</w:t>
      </w:r>
      <w:r w:rsidRPr="00351D6A">
        <w:rPr>
          <w:sz w:val="20"/>
          <w:szCs w:val="20"/>
        </w:rPr>
        <w:t xml:space="preserve"> (jeżeli dotyczy). </w:t>
      </w:r>
    </w:p>
    <w:p w:rsidR="00020108" w:rsidRPr="000863F8" w:rsidRDefault="00C124A4" w:rsidP="000863F8">
      <w:pPr>
        <w:pStyle w:val="Akapitzlist"/>
        <w:spacing w:line="360" w:lineRule="auto"/>
        <w:jc w:val="both"/>
        <w:rPr>
          <w:sz w:val="20"/>
          <w:szCs w:val="20"/>
        </w:rPr>
      </w:pPr>
      <w:r>
        <w:rPr>
          <w:sz w:val="20"/>
          <w:szCs w:val="20"/>
        </w:rPr>
        <w:t>4) kosztorys</w:t>
      </w:r>
      <w:r w:rsidR="0048296D">
        <w:rPr>
          <w:sz w:val="20"/>
          <w:szCs w:val="20"/>
        </w:rPr>
        <w:t xml:space="preserve"> ofertowy (</w:t>
      </w:r>
      <w:r w:rsidR="00933EC8">
        <w:rPr>
          <w:sz w:val="20"/>
          <w:szCs w:val="20"/>
        </w:rPr>
        <w:t xml:space="preserve">branża drogowa, branża sanitarna – etap I, etap II)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lastRenderedPageBreak/>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lastRenderedPageBreak/>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lastRenderedPageBreak/>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w:t>
      </w:r>
      <w:r w:rsidRPr="007B7B3E">
        <w:rPr>
          <w:sz w:val="20"/>
          <w:szCs w:val="20"/>
        </w:rPr>
        <w:lastRenderedPageBreak/>
        <w:t xml:space="preserve">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5" w:name="_Toc66783041"/>
      <w:r>
        <w:t>XV. Sposób obliczania ceny oferty</w:t>
      </w:r>
      <w:bookmarkEnd w:id="15"/>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A044C1" w:rsidRPr="00A044C1">
        <w:rPr>
          <w:b/>
          <w:sz w:val="20"/>
          <w:szCs w:val="20"/>
        </w:rPr>
        <w:t xml:space="preserve">wyliczona w oparciu o przedłożone przedmiary robót.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6" w:name="_Toc66783042"/>
      <w:r w:rsidRPr="00F7703D">
        <w:t>XVI. Wymagania dotyczące wadium</w:t>
      </w:r>
      <w:bookmarkEnd w:id="16"/>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D73619">
        <w:rPr>
          <w:b/>
          <w:sz w:val="20"/>
          <w:szCs w:val="20"/>
        </w:rPr>
        <w:t xml:space="preserve"> 20</w:t>
      </w:r>
      <w:r w:rsidR="006E4396">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D73619">
        <w:rPr>
          <w:sz w:val="20"/>
          <w:szCs w:val="20"/>
        </w:rPr>
        <w:t xml:space="preserve"> dwadzieścia</w:t>
      </w:r>
      <w:r w:rsidR="006E4396">
        <w:rPr>
          <w:sz w:val="20"/>
          <w:szCs w:val="20"/>
        </w:rPr>
        <w:t xml:space="preserve"> tysięcy </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lastRenderedPageBreak/>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 782625P i 782629P ul. Os. Robotnicze w m. Radłów w zakresie ciągu pieszo-rowerowego oraz odwodnienia”</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7" w:name="_Toc66783043"/>
      <w:r>
        <w:t>XVII. Termin związania ofertą</w:t>
      </w:r>
      <w:bookmarkEnd w:id="17"/>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653761">
        <w:rPr>
          <w:b/>
          <w:sz w:val="20"/>
          <w:szCs w:val="20"/>
        </w:rPr>
        <w:t>21</w:t>
      </w:r>
      <w:r w:rsidR="007A5E51">
        <w:rPr>
          <w:b/>
          <w:sz w:val="20"/>
          <w:szCs w:val="20"/>
        </w:rPr>
        <w:t xml:space="preserve"> czerwca</w:t>
      </w:r>
      <w:r w:rsidR="00CE4912">
        <w:rPr>
          <w:b/>
          <w:sz w:val="20"/>
          <w:szCs w:val="20"/>
        </w:rPr>
        <w:t xml:space="preserve"> </w:t>
      </w:r>
      <w:r w:rsidR="007A5E51">
        <w:rPr>
          <w:b/>
          <w:sz w:val="20"/>
          <w:szCs w:val="20"/>
        </w:rPr>
        <w:t>2022</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lastRenderedPageBreak/>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8" w:name="_Toc66783044"/>
      <w:r>
        <w:t>XVIII. Miejsce i termin składania ofert</w:t>
      </w:r>
      <w:bookmarkEnd w:id="18"/>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653761">
        <w:rPr>
          <w:b/>
          <w:sz w:val="20"/>
          <w:szCs w:val="20"/>
        </w:rPr>
        <w:t>23</w:t>
      </w:r>
      <w:r w:rsidR="007A5E51">
        <w:rPr>
          <w:b/>
          <w:sz w:val="20"/>
          <w:szCs w:val="20"/>
        </w:rPr>
        <w:t xml:space="preserve"> maja 2022 do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t>XIX. O</w:t>
      </w:r>
      <w:bookmarkEnd w:id="19"/>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653761">
        <w:rPr>
          <w:b/>
          <w:sz w:val="20"/>
          <w:szCs w:val="20"/>
        </w:rPr>
        <w:t>23</w:t>
      </w:r>
      <w:r w:rsidR="007A5E51">
        <w:rPr>
          <w:b/>
          <w:sz w:val="20"/>
          <w:szCs w:val="20"/>
        </w:rPr>
        <w:t xml:space="preserve"> maja</w:t>
      </w:r>
      <w:r w:rsidR="007C43CF">
        <w:rPr>
          <w:b/>
          <w:sz w:val="20"/>
          <w:szCs w:val="20"/>
        </w:rPr>
        <w:t xml:space="preserve"> </w:t>
      </w:r>
      <w:r w:rsidR="007A5E51">
        <w:rPr>
          <w:b/>
          <w:sz w:val="20"/>
          <w:szCs w:val="20"/>
        </w:rPr>
        <w:t>2022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lastRenderedPageBreak/>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lastRenderedPageBreak/>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bookmarkStart w:id="21" w:name="_Toc66783047"/>
      <w:r>
        <w:t>XXI. Informacje o fo</w:t>
      </w:r>
      <w:r w:rsidR="00F022A8">
        <w:t xml:space="preserve">rmalnościach, jakie powinny być </w:t>
      </w:r>
      <w:r>
        <w:t>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2" w:name="_Toc66783048"/>
      <w:r>
        <w:lastRenderedPageBreak/>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Pr="007107E2">
        <w:rPr>
          <w:b/>
          <w:sz w:val="20"/>
          <w:szCs w:val="20"/>
        </w:rPr>
        <w:t>5 %</w:t>
      </w:r>
      <w:r w:rsidRPr="001B547F">
        <w:rPr>
          <w:sz w:val="20"/>
          <w:szCs w:val="20"/>
        </w:rPr>
        <w:t xml:space="preserve">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lastRenderedPageBreak/>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7E5D95">
      <w:pPr>
        <w:pStyle w:val="Nagwek2"/>
        <w:spacing w:line="320" w:lineRule="auto"/>
        <w:jc w:val="both"/>
      </w:pPr>
      <w:bookmarkStart w:id="24" w:name="_Toc66783050"/>
      <w:r>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t>
      </w:r>
      <w:bookmarkEnd w:id="25"/>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09" w:rsidRDefault="004B7109">
      <w:pPr>
        <w:spacing w:line="240" w:lineRule="auto"/>
      </w:pPr>
      <w:r>
        <w:separator/>
      </w:r>
    </w:p>
  </w:endnote>
  <w:endnote w:type="continuationSeparator" w:id="0">
    <w:p w:rsidR="004B7109" w:rsidRDefault="004B7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DD" w:rsidRDefault="008A31DD">
    <w:pPr>
      <w:jc w:val="right"/>
    </w:pPr>
    <w:r>
      <w:fldChar w:fldCharType="begin"/>
    </w:r>
    <w:r>
      <w:instrText>PAGE</w:instrText>
    </w:r>
    <w:r>
      <w:fldChar w:fldCharType="separate"/>
    </w:r>
    <w:r w:rsidR="001939E0">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09" w:rsidRDefault="004B7109">
      <w:pPr>
        <w:spacing w:line="240" w:lineRule="auto"/>
      </w:pPr>
      <w:r>
        <w:separator/>
      </w:r>
    </w:p>
  </w:footnote>
  <w:footnote w:type="continuationSeparator" w:id="0">
    <w:p w:rsidR="004B7109" w:rsidRDefault="004B71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DD" w:rsidRPr="005927D0" w:rsidRDefault="008A31DD">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 xml:space="preserve">ZP.271.5.2022.1 „Przebudowa drogi gminnej nr 782625P i 782629P ul. Os. Robotnicze w m. Radłów w zakresie budowy ciągu pieszo-rowerowego oraz odwodnienia”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18">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1"/>
  </w:num>
  <w:num w:numId="2">
    <w:abstractNumId w:val="0"/>
  </w:num>
  <w:num w:numId="3">
    <w:abstractNumId w:val="14"/>
  </w:num>
  <w:num w:numId="4">
    <w:abstractNumId w:val="24"/>
  </w:num>
  <w:num w:numId="5">
    <w:abstractNumId w:val="11"/>
  </w:num>
  <w:num w:numId="6">
    <w:abstractNumId w:val="21"/>
  </w:num>
  <w:num w:numId="7">
    <w:abstractNumId w:val="4"/>
  </w:num>
  <w:num w:numId="8">
    <w:abstractNumId w:val="15"/>
  </w:num>
  <w:num w:numId="9">
    <w:abstractNumId w:val="26"/>
  </w:num>
  <w:num w:numId="10">
    <w:abstractNumId w:val="3"/>
  </w:num>
  <w:num w:numId="11">
    <w:abstractNumId w:val="16"/>
  </w:num>
  <w:num w:numId="12">
    <w:abstractNumId w:val="8"/>
  </w:num>
  <w:num w:numId="13">
    <w:abstractNumId w:val="22"/>
  </w:num>
  <w:num w:numId="14">
    <w:abstractNumId w:val="13"/>
  </w:num>
  <w:num w:numId="15">
    <w:abstractNumId w:val="20"/>
  </w:num>
  <w:num w:numId="16">
    <w:abstractNumId w:val="12"/>
  </w:num>
  <w:num w:numId="17">
    <w:abstractNumId w:val="25"/>
  </w:num>
  <w:num w:numId="18">
    <w:abstractNumId w:val="19"/>
  </w:num>
  <w:num w:numId="19">
    <w:abstractNumId w:val="6"/>
  </w:num>
  <w:num w:numId="20">
    <w:abstractNumId w:val="18"/>
  </w:num>
  <w:num w:numId="21">
    <w:abstractNumId w:val="2"/>
  </w:num>
  <w:num w:numId="22">
    <w:abstractNumId w:val="9"/>
  </w:num>
  <w:num w:numId="23">
    <w:abstractNumId w:val="7"/>
  </w:num>
  <w:num w:numId="24">
    <w:abstractNumId w:val="5"/>
  </w:num>
  <w:num w:numId="25">
    <w:abstractNumId w:val="17"/>
  </w:num>
  <w:num w:numId="26">
    <w:abstractNumId w:val="10"/>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B11BD"/>
    <w:rsid w:val="000D0291"/>
    <w:rsid w:val="00110EBB"/>
    <w:rsid w:val="0011263D"/>
    <w:rsid w:val="00113A19"/>
    <w:rsid w:val="00114EF5"/>
    <w:rsid w:val="00117A53"/>
    <w:rsid w:val="001223D8"/>
    <w:rsid w:val="001330C8"/>
    <w:rsid w:val="001405B2"/>
    <w:rsid w:val="001407D5"/>
    <w:rsid w:val="00145957"/>
    <w:rsid w:val="00146BFD"/>
    <w:rsid w:val="001511A9"/>
    <w:rsid w:val="001723F2"/>
    <w:rsid w:val="001824EA"/>
    <w:rsid w:val="00183C8C"/>
    <w:rsid w:val="00191756"/>
    <w:rsid w:val="001939E0"/>
    <w:rsid w:val="001A6824"/>
    <w:rsid w:val="001B1CA9"/>
    <w:rsid w:val="001B547F"/>
    <w:rsid w:val="001B6732"/>
    <w:rsid w:val="001C08DC"/>
    <w:rsid w:val="001C5E12"/>
    <w:rsid w:val="001C74D6"/>
    <w:rsid w:val="001D2296"/>
    <w:rsid w:val="001F20E5"/>
    <w:rsid w:val="001F61B9"/>
    <w:rsid w:val="00204421"/>
    <w:rsid w:val="002124FD"/>
    <w:rsid w:val="00214D87"/>
    <w:rsid w:val="002214A8"/>
    <w:rsid w:val="00222A92"/>
    <w:rsid w:val="00223C68"/>
    <w:rsid w:val="00224607"/>
    <w:rsid w:val="0022632C"/>
    <w:rsid w:val="00227A24"/>
    <w:rsid w:val="00227BF3"/>
    <w:rsid w:val="00231FC9"/>
    <w:rsid w:val="00250414"/>
    <w:rsid w:val="00254D82"/>
    <w:rsid w:val="00272A28"/>
    <w:rsid w:val="0027599C"/>
    <w:rsid w:val="002801E2"/>
    <w:rsid w:val="00286A9A"/>
    <w:rsid w:val="002878D6"/>
    <w:rsid w:val="00287E49"/>
    <w:rsid w:val="002A7046"/>
    <w:rsid w:val="002C0D6C"/>
    <w:rsid w:val="002C2D18"/>
    <w:rsid w:val="002D4C28"/>
    <w:rsid w:val="002E0427"/>
    <w:rsid w:val="002E097C"/>
    <w:rsid w:val="002F7734"/>
    <w:rsid w:val="003066C6"/>
    <w:rsid w:val="00314C60"/>
    <w:rsid w:val="00330005"/>
    <w:rsid w:val="00351D6A"/>
    <w:rsid w:val="00357E6A"/>
    <w:rsid w:val="003643D2"/>
    <w:rsid w:val="00395575"/>
    <w:rsid w:val="003A44B4"/>
    <w:rsid w:val="003B4AA0"/>
    <w:rsid w:val="003C315E"/>
    <w:rsid w:val="003C7AE1"/>
    <w:rsid w:val="003D7B31"/>
    <w:rsid w:val="003E039F"/>
    <w:rsid w:val="003E2BFC"/>
    <w:rsid w:val="003E6997"/>
    <w:rsid w:val="00400702"/>
    <w:rsid w:val="00410D60"/>
    <w:rsid w:val="004127ED"/>
    <w:rsid w:val="00412AA9"/>
    <w:rsid w:val="00413CB5"/>
    <w:rsid w:val="00414AF8"/>
    <w:rsid w:val="00424D65"/>
    <w:rsid w:val="0042690B"/>
    <w:rsid w:val="0047587E"/>
    <w:rsid w:val="004825D8"/>
    <w:rsid w:val="00482853"/>
    <w:rsid w:val="0048296D"/>
    <w:rsid w:val="004A35DE"/>
    <w:rsid w:val="004B2384"/>
    <w:rsid w:val="004B7109"/>
    <w:rsid w:val="004C4843"/>
    <w:rsid w:val="004D7B29"/>
    <w:rsid w:val="004E4452"/>
    <w:rsid w:val="004F0DC0"/>
    <w:rsid w:val="004F233D"/>
    <w:rsid w:val="00504273"/>
    <w:rsid w:val="00510E5D"/>
    <w:rsid w:val="00511657"/>
    <w:rsid w:val="00512CDF"/>
    <w:rsid w:val="00516881"/>
    <w:rsid w:val="00524E82"/>
    <w:rsid w:val="00526794"/>
    <w:rsid w:val="005455A5"/>
    <w:rsid w:val="005479A4"/>
    <w:rsid w:val="005530EA"/>
    <w:rsid w:val="00557030"/>
    <w:rsid w:val="00561A2C"/>
    <w:rsid w:val="00562788"/>
    <w:rsid w:val="00563970"/>
    <w:rsid w:val="00564BA8"/>
    <w:rsid w:val="005709CE"/>
    <w:rsid w:val="00576BC3"/>
    <w:rsid w:val="00582E0E"/>
    <w:rsid w:val="005927D0"/>
    <w:rsid w:val="005A7B03"/>
    <w:rsid w:val="005B2306"/>
    <w:rsid w:val="005D08FE"/>
    <w:rsid w:val="00613D66"/>
    <w:rsid w:val="0061522A"/>
    <w:rsid w:val="006256C5"/>
    <w:rsid w:val="00653761"/>
    <w:rsid w:val="006539BA"/>
    <w:rsid w:val="006903C7"/>
    <w:rsid w:val="006A5AD9"/>
    <w:rsid w:val="006B2F46"/>
    <w:rsid w:val="006D4BE6"/>
    <w:rsid w:val="006D5FF3"/>
    <w:rsid w:val="006D6938"/>
    <w:rsid w:val="006E2F72"/>
    <w:rsid w:val="006E4396"/>
    <w:rsid w:val="006E60BF"/>
    <w:rsid w:val="006F01CC"/>
    <w:rsid w:val="006F2B55"/>
    <w:rsid w:val="00700312"/>
    <w:rsid w:val="007107E2"/>
    <w:rsid w:val="00723574"/>
    <w:rsid w:val="0074380C"/>
    <w:rsid w:val="0074546A"/>
    <w:rsid w:val="00747FD7"/>
    <w:rsid w:val="00750B15"/>
    <w:rsid w:val="00766976"/>
    <w:rsid w:val="007703E7"/>
    <w:rsid w:val="0077324D"/>
    <w:rsid w:val="007817F8"/>
    <w:rsid w:val="007A5A26"/>
    <w:rsid w:val="007A5E51"/>
    <w:rsid w:val="007A7C87"/>
    <w:rsid w:val="007B7B3E"/>
    <w:rsid w:val="007C43CF"/>
    <w:rsid w:val="007D7D83"/>
    <w:rsid w:val="007E1CC2"/>
    <w:rsid w:val="007E5D95"/>
    <w:rsid w:val="007F12F3"/>
    <w:rsid w:val="00805B57"/>
    <w:rsid w:val="00816235"/>
    <w:rsid w:val="00834F33"/>
    <w:rsid w:val="0083520A"/>
    <w:rsid w:val="008521E0"/>
    <w:rsid w:val="00865923"/>
    <w:rsid w:val="00870229"/>
    <w:rsid w:val="00870E95"/>
    <w:rsid w:val="008740D1"/>
    <w:rsid w:val="008853BC"/>
    <w:rsid w:val="008A2299"/>
    <w:rsid w:val="008A31DD"/>
    <w:rsid w:val="008B025E"/>
    <w:rsid w:val="008C244D"/>
    <w:rsid w:val="008C2759"/>
    <w:rsid w:val="008C32D0"/>
    <w:rsid w:val="008D2E4A"/>
    <w:rsid w:val="008D5542"/>
    <w:rsid w:val="008E396C"/>
    <w:rsid w:val="009032CF"/>
    <w:rsid w:val="00907586"/>
    <w:rsid w:val="00916460"/>
    <w:rsid w:val="00932A0A"/>
    <w:rsid w:val="00933EC8"/>
    <w:rsid w:val="00936223"/>
    <w:rsid w:val="00942A7D"/>
    <w:rsid w:val="00952BB2"/>
    <w:rsid w:val="00970C90"/>
    <w:rsid w:val="009740E3"/>
    <w:rsid w:val="00976E59"/>
    <w:rsid w:val="009A0006"/>
    <w:rsid w:val="009B5802"/>
    <w:rsid w:val="009C1A6B"/>
    <w:rsid w:val="009C2090"/>
    <w:rsid w:val="009C45F2"/>
    <w:rsid w:val="009E1584"/>
    <w:rsid w:val="009F04EC"/>
    <w:rsid w:val="009F0E00"/>
    <w:rsid w:val="009F26EF"/>
    <w:rsid w:val="00A044C1"/>
    <w:rsid w:val="00A20BAE"/>
    <w:rsid w:val="00A2733F"/>
    <w:rsid w:val="00A33BA3"/>
    <w:rsid w:val="00A40CE5"/>
    <w:rsid w:val="00A605A6"/>
    <w:rsid w:val="00A70F4A"/>
    <w:rsid w:val="00A71DD2"/>
    <w:rsid w:val="00A724C9"/>
    <w:rsid w:val="00A72D22"/>
    <w:rsid w:val="00A82079"/>
    <w:rsid w:val="00A83071"/>
    <w:rsid w:val="00A93C7E"/>
    <w:rsid w:val="00AA72AA"/>
    <w:rsid w:val="00AB3E9C"/>
    <w:rsid w:val="00AC2FD5"/>
    <w:rsid w:val="00AC7E13"/>
    <w:rsid w:val="00B07AC7"/>
    <w:rsid w:val="00B20408"/>
    <w:rsid w:val="00B229FA"/>
    <w:rsid w:val="00B3677A"/>
    <w:rsid w:val="00B411FC"/>
    <w:rsid w:val="00B55C45"/>
    <w:rsid w:val="00B66F84"/>
    <w:rsid w:val="00B72064"/>
    <w:rsid w:val="00B76F43"/>
    <w:rsid w:val="00B91326"/>
    <w:rsid w:val="00B973F3"/>
    <w:rsid w:val="00BA0590"/>
    <w:rsid w:val="00BC0507"/>
    <w:rsid w:val="00BC19BC"/>
    <w:rsid w:val="00BD299E"/>
    <w:rsid w:val="00BD6E3E"/>
    <w:rsid w:val="00BE0109"/>
    <w:rsid w:val="00BE79D0"/>
    <w:rsid w:val="00BF1FA4"/>
    <w:rsid w:val="00C0041B"/>
    <w:rsid w:val="00C0687B"/>
    <w:rsid w:val="00C124A4"/>
    <w:rsid w:val="00C17B03"/>
    <w:rsid w:val="00C24F87"/>
    <w:rsid w:val="00C30582"/>
    <w:rsid w:val="00C33F48"/>
    <w:rsid w:val="00C34B21"/>
    <w:rsid w:val="00C4253E"/>
    <w:rsid w:val="00C506B2"/>
    <w:rsid w:val="00C6028A"/>
    <w:rsid w:val="00C622AC"/>
    <w:rsid w:val="00C75BE2"/>
    <w:rsid w:val="00C84F41"/>
    <w:rsid w:val="00C9038A"/>
    <w:rsid w:val="00C972F2"/>
    <w:rsid w:val="00CA2090"/>
    <w:rsid w:val="00CA52DB"/>
    <w:rsid w:val="00CB1D8F"/>
    <w:rsid w:val="00CC2B6D"/>
    <w:rsid w:val="00CE4912"/>
    <w:rsid w:val="00CE60E2"/>
    <w:rsid w:val="00CF361E"/>
    <w:rsid w:val="00D063E5"/>
    <w:rsid w:val="00D15377"/>
    <w:rsid w:val="00D40A4B"/>
    <w:rsid w:val="00D43CC9"/>
    <w:rsid w:val="00D451C1"/>
    <w:rsid w:val="00D6192F"/>
    <w:rsid w:val="00D73619"/>
    <w:rsid w:val="00D837E2"/>
    <w:rsid w:val="00D85DD9"/>
    <w:rsid w:val="00D92D65"/>
    <w:rsid w:val="00DA1B0A"/>
    <w:rsid w:val="00DB53C6"/>
    <w:rsid w:val="00DB6562"/>
    <w:rsid w:val="00DD124F"/>
    <w:rsid w:val="00DD7738"/>
    <w:rsid w:val="00E00115"/>
    <w:rsid w:val="00E00209"/>
    <w:rsid w:val="00E16841"/>
    <w:rsid w:val="00E202F8"/>
    <w:rsid w:val="00E3242B"/>
    <w:rsid w:val="00E404D4"/>
    <w:rsid w:val="00E46D15"/>
    <w:rsid w:val="00E535E8"/>
    <w:rsid w:val="00E54E6E"/>
    <w:rsid w:val="00E5511A"/>
    <w:rsid w:val="00E77194"/>
    <w:rsid w:val="00E81150"/>
    <w:rsid w:val="00EA3460"/>
    <w:rsid w:val="00EA7C67"/>
    <w:rsid w:val="00EB2957"/>
    <w:rsid w:val="00EB466F"/>
    <w:rsid w:val="00EE7543"/>
    <w:rsid w:val="00EE7DCB"/>
    <w:rsid w:val="00F022A8"/>
    <w:rsid w:val="00F22C18"/>
    <w:rsid w:val="00F40295"/>
    <w:rsid w:val="00F40B82"/>
    <w:rsid w:val="00F42E59"/>
    <w:rsid w:val="00F52BBD"/>
    <w:rsid w:val="00F536D4"/>
    <w:rsid w:val="00F53C9A"/>
    <w:rsid w:val="00F67C46"/>
    <w:rsid w:val="00F7703D"/>
    <w:rsid w:val="00FA69EB"/>
    <w:rsid w:val="00FB2249"/>
    <w:rsid w:val="00FB4680"/>
    <w:rsid w:val="00FC07D2"/>
    <w:rsid w:val="00FC2CC3"/>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27</Pages>
  <Words>9897</Words>
  <Characters>59382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 Krawczyk</dc:creator>
  <cp:lastModifiedBy>Ilona</cp:lastModifiedBy>
  <cp:revision>51</cp:revision>
  <cp:lastPrinted>2022-05-06T11:43:00Z</cp:lastPrinted>
  <dcterms:created xsi:type="dcterms:W3CDTF">2021-06-11T13:14:00Z</dcterms:created>
  <dcterms:modified xsi:type="dcterms:W3CDTF">2022-05-06T11:45:00Z</dcterms:modified>
</cp:coreProperties>
</file>