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E4C538C" w14:textId="009CF7AC" w:rsidR="00275379" w:rsidRPr="00275379" w:rsidRDefault="00B01D70" w:rsidP="00A7658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275379">
        <w:rPr>
          <w:rFonts w:ascii="Verdana" w:hAnsi="Verdana"/>
          <w:b/>
          <w:bCs/>
          <w:sz w:val="16"/>
          <w:szCs w:val="16"/>
        </w:rPr>
        <w:t>m</w:t>
      </w:r>
      <w:r w:rsidR="00275379" w:rsidRPr="00275379">
        <w:rPr>
          <w:rFonts w:ascii="Verdana" w:hAnsi="Verdana"/>
          <w:b/>
          <w:bCs/>
          <w:sz w:val="16"/>
          <w:szCs w:val="16"/>
        </w:rPr>
        <w:t xml:space="preserve">odernizacji drogi powiatowej nr 2358C Łabiszyn – Pturek od km 4+870 </w:t>
      </w:r>
      <w:r w:rsidR="00275379">
        <w:rPr>
          <w:rFonts w:ascii="Verdana" w:hAnsi="Verdana"/>
          <w:b/>
          <w:bCs/>
          <w:sz w:val="16"/>
          <w:szCs w:val="16"/>
        </w:rPr>
        <w:t xml:space="preserve">                </w:t>
      </w:r>
      <w:r w:rsidR="00275379" w:rsidRPr="00275379">
        <w:rPr>
          <w:rFonts w:ascii="Verdana" w:hAnsi="Verdana"/>
          <w:b/>
          <w:bCs/>
          <w:sz w:val="16"/>
          <w:szCs w:val="16"/>
        </w:rPr>
        <w:t>do km 8+600, dł. 3,730 km (Lubostroń – Pturek)</w:t>
      </w:r>
    </w:p>
    <w:p w14:paraId="40A0BB0E" w14:textId="77777777" w:rsidR="001C6557" w:rsidRDefault="001C6557" w:rsidP="00275379">
      <w:pPr>
        <w:pStyle w:val="Nagwek2"/>
        <w:tabs>
          <w:tab w:val="center" w:pos="1515"/>
        </w:tabs>
        <w:spacing w:after="104"/>
        <w:ind w:left="0" w:firstLine="0"/>
        <w:rPr>
          <w:rFonts w:ascii="Verdana" w:hAnsi="Verdana"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4A1DB" w14:textId="77777777" w:rsidR="00555FE8" w:rsidRDefault="00555FE8">
      <w:pPr>
        <w:spacing w:after="0" w:line="240" w:lineRule="auto"/>
      </w:pPr>
      <w:r>
        <w:separator/>
      </w:r>
    </w:p>
  </w:endnote>
  <w:endnote w:type="continuationSeparator" w:id="0">
    <w:p w14:paraId="00F535D0" w14:textId="77777777" w:rsidR="00555FE8" w:rsidRDefault="0055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D365B" w14:textId="77777777" w:rsidR="00555FE8" w:rsidRDefault="00555FE8">
      <w:pPr>
        <w:spacing w:after="0" w:line="240" w:lineRule="auto"/>
      </w:pPr>
      <w:r>
        <w:separator/>
      </w:r>
    </w:p>
  </w:footnote>
  <w:footnote w:type="continuationSeparator" w:id="0">
    <w:p w14:paraId="420AAFCA" w14:textId="77777777" w:rsidR="00555FE8" w:rsidRDefault="0055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107320"/>
    <w:rsid w:val="001C6557"/>
    <w:rsid w:val="002013AA"/>
    <w:rsid w:val="0027152B"/>
    <w:rsid w:val="00275379"/>
    <w:rsid w:val="00294378"/>
    <w:rsid w:val="00412207"/>
    <w:rsid w:val="00454E39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A7658E"/>
    <w:rsid w:val="00B01D70"/>
    <w:rsid w:val="00B22E8F"/>
    <w:rsid w:val="00B31ECC"/>
    <w:rsid w:val="00B73648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969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12</cp:revision>
  <dcterms:created xsi:type="dcterms:W3CDTF">2021-03-10T08:13:00Z</dcterms:created>
  <dcterms:modified xsi:type="dcterms:W3CDTF">2024-05-29T06:04:00Z</dcterms:modified>
</cp:coreProperties>
</file>