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20C61D08"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8E6AA1">
        <w:rPr>
          <w:rFonts w:ascii="Arial" w:hAnsi="Arial" w:cs="Arial"/>
          <w:i/>
          <w:sz w:val="20"/>
          <w:szCs w:val="20"/>
        </w:rPr>
        <w:t>e</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9AA0371" w:rsidR="00146389" w:rsidRPr="00886891" w:rsidRDefault="009947DC" w:rsidP="00886891">
      <w:pPr>
        <w:numPr>
          <w:ilvl w:val="0"/>
          <w:numId w:val="22"/>
        </w:numPr>
        <w:spacing w:after="120" w:line="240" w:lineRule="auto"/>
        <w:ind w:left="426" w:hanging="426"/>
        <w:contextualSpacing/>
        <w:jc w:val="both"/>
        <w:rPr>
          <w:rFonts w:ascii="Arial" w:hAnsi="Arial" w:cs="Arial"/>
          <w:b/>
          <w:bCs/>
          <w:sz w:val="20"/>
          <w:szCs w:val="20"/>
          <w:u w:val="single"/>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8E6AA1" w:rsidRPr="00886891">
        <w:rPr>
          <w:rFonts w:ascii="Arial" w:hAnsi="Arial" w:cs="Arial"/>
          <w:b/>
          <w:bCs/>
          <w:sz w:val="20"/>
          <w:szCs w:val="20"/>
        </w:rPr>
        <w:t>części 5 – Przebudowa i budowa dróg na terenie Gminy Zblewo o nawierzchni asfaltowej.</w:t>
      </w:r>
      <w:r w:rsidR="00886891" w:rsidRPr="00886891">
        <w:rPr>
          <w:rFonts w:ascii="Arial" w:hAnsi="Arial" w:cs="Arial"/>
          <w:bCs/>
          <w:sz w:val="20"/>
          <w:szCs w:val="20"/>
        </w:rPr>
        <w:t xml:space="preserve"> </w:t>
      </w:r>
      <w:r w:rsidR="00886891" w:rsidRPr="00670F4A">
        <w:rPr>
          <w:rFonts w:ascii="Arial" w:hAnsi="Arial" w:cs="Arial"/>
          <w:bCs/>
          <w:sz w:val="20"/>
          <w:szCs w:val="20"/>
        </w:rPr>
        <w:t xml:space="preserve">Szczegółowy </w:t>
      </w:r>
      <w:r w:rsidR="00886891">
        <w:rPr>
          <w:rFonts w:ascii="Arial" w:hAnsi="Arial" w:cs="Arial"/>
          <w:bCs/>
          <w:sz w:val="20"/>
          <w:szCs w:val="20"/>
        </w:rPr>
        <w:t>wykaz dróg zawiera załącznik nr 1 do Umowy.</w:t>
      </w:r>
      <w:bookmarkStart w:id="0" w:name="_GoBack"/>
      <w:bookmarkEnd w:id="0"/>
    </w:p>
    <w:p w14:paraId="7C44A6EB" w14:textId="1AABE174"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9E1E3A">
        <w:rPr>
          <w:rFonts w:ascii="Arial" w:hAnsi="Arial" w:cs="Arial"/>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szczegółowo zapoznał się z wymaganiami Zamawiającego, które uwzględnił w swojej </w:t>
      </w:r>
      <w:r w:rsidRPr="009F54E5">
        <w:rPr>
          <w:rFonts w:ascii="Arial" w:hAnsi="Arial" w:cs="Arial"/>
          <w:sz w:val="20"/>
          <w:szCs w:val="20"/>
        </w:rPr>
        <w:lastRenderedPageBreak/>
        <w:t>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1"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1"/>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t>
      </w:r>
      <w:r w:rsidRPr="009F54E5">
        <w:rPr>
          <w:rFonts w:ascii="Arial" w:hAnsi="Arial" w:cs="Arial"/>
          <w:sz w:val="20"/>
          <w:szCs w:val="20"/>
        </w:rPr>
        <w:lastRenderedPageBreak/>
        <w:t>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badań dodatkowych niezbędnych do zbadania robót, a następnie do </w:t>
      </w:r>
      <w:r w:rsidRPr="009F54E5">
        <w:rPr>
          <w:rFonts w:ascii="Arial" w:hAnsi="Arial" w:cs="Arial"/>
          <w:sz w:val="20"/>
          <w:szCs w:val="20"/>
        </w:rPr>
        <w:lastRenderedPageBreak/>
        <w:t>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F23779F"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9E1E3A">
        <w:rPr>
          <w:rFonts w:ascii="Arial" w:eastAsia="Times New Roman" w:hAnsi="Arial" w:cs="Arial"/>
          <w:b/>
          <w:sz w:val="20"/>
          <w:szCs w:val="20"/>
          <w:lang w:eastAsia="pl-PL"/>
        </w:rPr>
        <w:t>3</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9E1E3A">
        <w:rPr>
          <w:rFonts w:ascii="Arial" w:eastAsia="Times New Roman" w:hAnsi="Arial" w:cs="Arial"/>
          <w:b/>
          <w:sz w:val="20"/>
          <w:szCs w:val="20"/>
          <w:lang w:eastAsia="pl-PL"/>
        </w:rPr>
        <w:t>, tj. do dnia ……………</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69B8EC9D"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 xml:space="preserve">układania nawierzchni </w:t>
      </w:r>
      <w:r w:rsidR="00103400">
        <w:rPr>
          <w:rFonts w:ascii="Arial" w:eastAsia="Times New Roman" w:hAnsi="Arial" w:cs="Arial"/>
          <w:sz w:val="20"/>
          <w:szCs w:val="20"/>
        </w:rPr>
        <w:t>asfaltowej</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r>
      <w:r w:rsidRPr="009F54E5">
        <w:rPr>
          <w:rFonts w:ascii="Arial" w:eastAsia="Times New Roman" w:hAnsi="Arial" w:cs="Arial"/>
          <w:sz w:val="20"/>
          <w:szCs w:val="20"/>
        </w:rPr>
        <w:lastRenderedPageBreak/>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lastRenderedPageBreak/>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w:t>
      </w:r>
      <w:r w:rsidR="00B307C1" w:rsidRPr="009F54E5">
        <w:rPr>
          <w:rFonts w:ascii="Arial" w:eastAsia="Times New Roman" w:hAnsi="Arial" w:cs="Arial"/>
          <w:sz w:val="20"/>
          <w:szCs w:val="20"/>
        </w:rPr>
        <w:lastRenderedPageBreak/>
        <w:t xml:space="preserve">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 xml:space="preserve">Niedoszacowanie, pominięcie oraz brak rozpoznania zakresu przedmiotu umowy za wyjątkiem okoliczności wynikających z zastosowania  §14 ust. 1 pkt 2 lit. „a”, nie może być podstawą do </w:t>
      </w:r>
      <w:r w:rsidR="00B307C1" w:rsidRPr="009F54E5">
        <w:rPr>
          <w:rFonts w:ascii="Arial" w:eastAsia="Times New Roman" w:hAnsi="Arial" w:cs="Arial"/>
          <w:sz w:val="20"/>
          <w:szCs w:val="20"/>
        </w:rPr>
        <w:lastRenderedPageBreak/>
        <w:t>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0EE8D7E5"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AD04E1">
        <w:rPr>
          <w:rFonts w:ascii="Arial" w:eastAsia="Times New Roman" w:hAnsi="Arial" w:cs="Arial"/>
          <w:sz w:val="20"/>
          <w:szCs w:val="20"/>
          <w:lang w:eastAsia="pl-PL"/>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D3D938B" w14:textId="77777777" w:rsidR="00036431" w:rsidRDefault="00036431"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2198286F" w14:textId="3F6B9B79" w:rsidR="00CB476D" w:rsidRPr="00CB476D" w:rsidRDefault="00B307C1" w:rsidP="00AD04E1">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2FDBF680" w14:textId="77777777" w:rsidR="008820A0" w:rsidRDefault="008820A0"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23 pkt 1 ustawy </w:t>
      </w:r>
      <w:r w:rsidRPr="009F54E5">
        <w:rPr>
          <w:rFonts w:ascii="Arial" w:hAnsi="Arial" w:cs="Arial"/>
          <w:sz w:val="20"/>
          <w:szCs w:val="20"/>
        </w:rPr>
        <w:lastRenderedPageBreak/>
        <w:t>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zmniejszenia zakresu robót i wynagrodzenia z przyczyn o obiektywnym charakterze, istotnej </w:t>
      </w:r>
      <w:r w:rsidRPr="009F54E5">
        <w:rPr>
          <w:rFonts w:ascii="Arial" w:hAnsi="Arial" w:cs="Arial"/>
          <w:sz w:val="20"/>
          <w:szCs w:val="20"/>
        </w:rPr>
        <w:lastRenderedPageBreak/>
        <w:t>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47B8C" w14:textId="77777777" w:rsidR="00E6461F" w:rsidRDefault="00E6461F" w:rsidP="0028607D">
      <w:pPr>
        <w:spacing w:after="0" w:line="240" w:lineRule="auto"/>
      </w:pPr>
      <w:r>
        <w:separator/>
      </w:r>
    </w:p>
  </w:endnote>
  <w:endnote w:type="continuationSeparator" w:id="0">
    <w:p w14:paraId="6FD41FB5" w14:textId="77777777" w:rsidR="00E6461F" w:rsidRDefault="00E6461F"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41D12" w14:textId="77777777" w:rsidR="00E6461F" w:rsidRDefault="00E6461F" w:rsidP="0028607D">
      <w:pPr>
        <w:spacing w:after="0" w:line="240" w:lineRule="auto"/>
      </w:pPr>
      <w:r>
        <w:separator/>
      </w:r>
    </w:p>
  </w:footnote>
  <w:footnote w:type="continuationSeparator" w:id="0">
    <w:p w14:paraId="7924F3A1" w14:textId="77777777" w:rsidR="00E6461F" w:rsidRDefault="00E6461F"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03400"/>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729D"/>
    <w:rsid w:val="004A50EF"/>
    <w:rsid w:val="004C3EFA"/>
    <w:rsid w:val="004D0740"/>
    <w:rsid w:val="004F197F"/>
    <w:rsid w:val="004F3ACD"/>
    <w:rsid w:val="004F7249"/>
    <w:rsid w:val="00502238"/>
    <w:rsid w:val="00523084"/>
    <w:rsid w:val="005331E8"/>
    <w:rsid w:val="00551B13"/>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D5924"/>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B28C0"/>
    <w:rsid w:val="006C6F54"/>
    <w:rsid w:val="006D59A7"/>
    <w:rsid w:val="006E13F5"/>
    <w:rsid w:val="006E7EF7"/>
    <w:rsid w:val="00702B78"/>
    <w:rsid w:val="007075BE"/>
    <w:rsid w:val="007257D3"/>
    <w:rsid w:val="0073775C"/>
    <w:rsid w:val="00756C6F"/>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820A0"/>
    <w:rsid w:val="00886891"/>
    <w:rsid w:val="00891686"/>
    <w:rsid w:val="00891E1F"/>
    <w:rsid w:val="00895893"/>
    <w:rsid w:val="008B3BAA"/>
    <w:rsid w:val="008B5288"/>
    <w:rsid w:val="008D4928"/>
    <w:rsid w:val="008E6AA1"/>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E1E3A"/>
    <w:rsid w:val="009F1A39"/>
    <w:rsid w:val="009F31F3"/>
    <w:rsid w:val="009F51E4"/>
    <w:rsid w:val="009F54E5"/>
    <w:rsid w:val="00A000D4"/>
    <w:rsid w:val="00A035F1"/>
    <w:rsid w:val="00A11A1C"/>
    <w:rsid w:val="00A16D71"/>
    <w:rsid w:val="00A24181"/>
    <w:rsid w:val="00A46C5C"/>
    <w:rsid w:val="00A5167F"/>
    <w:rsid w:val="00A5410C"/>
    <w:rsid w:val="00A54E13"/>
    <w:rsid w:val="00A65E70"/>
    <w:rsid w:val="00A71076"/>
    <w:rsid w:val="00A73FC6"/>
    <w:rsid w:val="00A77F7F"/>
    <w:rsid w:val="00A846BC"/>
    <w:rsid w:val="00AA1EBF"/>
    <w:rsid w:val="00AB63CD"/>
    <w:rsid w:val="00AD04E1"/>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2AFD"/>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C87"/>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61F"/>
    <w:rsid w:val="00E64C9A"/>
    <w:rsid w:val="00E757B4"/>
    <w:rsid w:val="00E80B5D"/>
    <w:rsid w:val="00E82E5D"/>
    <w:rsid w:val="00E87C49"/>
    <w:rsid w:val="00ED08EB"/>
    <w:rsid w:val="00ED7457"/>
    <w:rsid w:val="00EF673B"/>
    <w:rsid w:val="00EF7F68"/>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AFD1-BA18-4D46-974C-4DCBA53E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10185</Words>
  <Characters>61110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8</cp:revision>
  <cp:lastPrinted>2023-02-01T12:51:00Z</cp:lastPrinted>
  <dcterms:created xsi:type="dcterms:W3CDTF">2024-01-31T11:48:00Z</dcterms:created>
  <dcterms:modified xsi:type="dcterms:W3CDTF">2024-01-31T12:12:00Z</dcterms:modified>
</cp:coreProperties>
</file>