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BAF52" w14:textId="77777777" w:rsidR="0092406D" w:rsidRPr="00934E15" w:rsidRDefault="003C5C31" w:rsidP="00AF7426">
      <w:pPr>
        <w:spacing w:before="120"/>
        <w:jc w:val="center"/>
        <w:rPr>
          <w:b/>
          <w:bCs/>
          <w:sz w:val="24"/>
          <w:szCs w:val="24"/>
        </w:rPr>
      </w:pPr>
      <w:r w:rsidRPr="00934E15">
        <w:rPr>
          <w:b/>
          <w:bCs/>
          <w:sz w:val="24"/>
          <w:szCs w:val="24"/>
        </w:rPr>
        <w:t>SZCZEGÓŁOWY OPIS PRZEDMIOTU ZAMÓWIENIA</w:t>
      </w:r>
    </w:p>
    <w:p w14:paraId="2BD18075" w14:textId="77777777" w:rsidR="003C5C31" w:rsidRPr="00934E15" w:rsidRDefault="003C5C31" w:rsidP="003C5C31">
      <w:pPr>
        <w:jc w:val="both"/>
        <w:rPr>
          <w:sz w:val="24"/>
          <w:szCs w:val="24"/>
        </w:rPr>
      </w:pPr>
    </w:p>
    <w:p w14:paraId="1F39CDAA" w14:textId="77777777" w:rsidR="003C5C31" w:rsidRPr="00934E15" w:rsidRDefault="003C5C31" w:rsidP="003C5C31">
      <w:pPr>
        <w:jc w:val="both"/>
        <w:rPr>
          <w:sz w:val="24"/>
          <w:szCs w:val="24"/>
        </w:rPr>
      </w:pPr>
    </w:p>
    <w:p w14:paraId="0793BF57" w14:textId="77777777" w:rsidR="00D464E5" w:rsidRPr="00934E15" w:rsidRDefault="00D464E5" w:rsidP="005C7121">
      <w:pPr>
        <w:pStyle w:val="Standard"/>
        <w:numPr>
          <w:ilvl w:val="0"/>
          <w:numId w:val="22"/>
        </w:numPr>
        <w:shd w:val="clear" w:color="auto" w:fill="FFFFFF"/>
        <w:spacing w:line="280" w:lineRule="atLeast"/>
        <w:ind w:left="284" w:hanging="284"/>
        <w:jc w:val="both"/>
      </w:pPr>
      <w:r w:rsidRPr="00934E15">
        <w:t xml:space="preserve">Dostawa energii elektrycznej obejmuje kupno i sprzedaż energii elektrycznej dla </w:t>
      </w:r>
      <w:r w:rsidR="005C7121" w:rsidRPr="00934E15">
        <w:t xml:space="preserve">niżej wymienionych </w:t>
      </w:r>
      <w:r w:rsidRPr="00934E15">
        <w:t>punktów poboru energii</w:t>
      </w:r>
      <w:r w:rsidR="005C7121" w:rsidRPr="00934E15">
        <w:t>:</w:t>
      </w:r>
    </w:p>
    <w:p w14:paraId="4A201225" w14:textId="77777777" w:rsidR="005C7121" w:rsidRPr="00AF7426" w:rsidRDefault="005C7121" w:rsidP="00AF7426">
      <w:pPr>
        <w:pStyle w:val="Standard"/>
        <w:shd w:val="clear" w:color="auto" w:fill="FFFFFF"/>
        <w:jc w:val="both"/>
        <w:rPr>
          <w:sz w:val="20"/>
          <w:szCs w:val="20"/>
        </w:rPr>
      </w:pPr>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2009"/>
        <w:gridCol w:w="1131"/>
        <w:gridCol w:w="1043"/>
        <w:gridCol w:w="905"/>
        <w:gridCol w:w="1888"/>
      </w:tblGrid>
      <w:tr w:rsidR="006C11FB" w14:paraId="336061F9" w14:textId="77777777">
        <w:trPr>
          <w:trHeight w:val="872"/>
          <w:jc w:val="center"/>
        </w:trPr>
        <w:tc>
          <w:tcPr>
            <w:tcW w:w="2607" w:type="dxa"/>
            <w:shd w:val="clear" w:color="auto" w:fill="auto"/>
            <w:vAlign w:val="center"/>
          </w:tcPr>
          <w:p w14:paraId="4B64EF5B" w14:textId="77777777" w:rsidR="00401C6C" w:rsidRDefault="00401C6C">
            <w:pPr>
              <w:pStyle w:val="Standard"/>
              <w:ind w:left="-57" w:right="-57"/>
              <w:jc w:val="center"/>
              <w:rPr>
                <w:b/>
                <w:bCs/>
                <w:sz w:val="20"/>
                <w:szCs w:val="20"/>
              </w:rPr>
            </w:pPr>
            <w:r>
              <w:rPr>
                <w:b/>
                <w:bCs/>
                <w:sz w:val="20"/>
                <w:szCs w:val="20"/>
              </w:rPr>
              <w:t>Nazwa i adres PPE</w:t>
            </w:r>
          </w:p>
        </w:tc>
        <w:tc>
          <w:tcPr>
            <w:tcW w:w="2009" w:type="dxa"/>
            <w:shd w:val="clear" w:color="auto" w:fill="auto"/>
            <w:vAlign w:val="center"/>
          </w:tcPr>
          <w:p w14:paraId="7A3F4EB2" w14:textId="77777777" w:rsidR="00401C6C" w:rsidRDefault="00401C6C">
            <w:pPr>
              <w:pStyle w:val="Standard"/>
              <w:ind w:left="-57" w:right="-57"/>
              <w:jc w:val="center"/>
              <w:rPr>
                <w:b/>
                <w:bCs/>
                <w:sz w:val="20"/>
                <w:szCs w:val="20"/>
              </w:rPr>
            </w:pPr>
            <w:r>
              <w:rPr>
                <w:b/>
                <w:bCs/>
                <w:sz w:val="20"/>
                <w:szCs w:val="20"/>
              </w:rPr>
              <w:t>Numer PPE</w:t>
            </w:r>
          </w:p>
        </w:tc>
        <w:tc>
          <w:tcPr>
            <w:tcW w:w="1131" w:type="dxa"/>
            <w:shd w:val="clear" w:color="auto" w:fill="auto"/>
            <w:vAlign w:val="center"/>
          </w:tcPr>
          <w:p w14:paraId="69BAFE4B" w14:textId="77777777" w:rsidR="00401C6C" w:rsidRDefault="00401C6C">
            <w:pPr>
              <w:pStyle w:val="Standard"/>
              <w:ind w:left="-57" w:right="-57"/>
              <w:jc w:val="center"/>
              <w:rPr>
                <w:b/>
                <w:bCs/>
                <w:sz w:val="20"/>
                <w:szCs w:val="20"/>
              </w:rPr>
            </w:pPr>
            <w:r>
              <w:rPr>
                <w:b/>
                <w:bCs/>
                <w:sz w:val="20"/>
                <w:szCs w:val="20"/>
              </w:rPr>
              <w:t>Numer licznika</w:t>
            </w:r>
          </w:p>
        </w:tc>
        <w:tc>
          <w:tcPr>
            <w:tcW w:w="1043" w:type="dxa"/>
            <w:shd w:val="clear" w:color="auto" w:fill="auto"/>
            <w:vAlign w:val="center"/>
          </w:tcPr>
          <w:p w14:paraId="45BA785C" w14:textId="77777777" w:rsidR="00401C6C" w:rsidRDefault="00401C6C">
            <w:pPr>
              <w:pStyle w:val="Standard"/>
              <w:ind w:left="-57" w:right="-57"/>
              <w:jc w:val="center"/>
              <w:rPr>
                <w:b/>
                <w:bCs/>
                <w:sz w:val="20"/>
                <w:szCs w:val="20"/>
              </w:rPr>
            </w:pPr>
            <w:r>
              <w:rPr>
                <w:b/>
                <w:bCs/>
                <w:sz w:val="20"/>
                <w:szCs w:val="20"/>
              </w:rPr>
              <w:t>Grupa taryfowa</w:t>
            </w:r>
          </w:p>
        </w:tc>
        <w:tc>
          <w:tcPr>
            <w:tcW w:w="905" w:type="dxa"/>
            <w:shd w:val="clear" w:color="auto" w:fill="auto"/>
            <w:vAlign w:val="center"/>
          </w:tcPr>
          <w:p w14:paraId="1DA83798" w14:textId="77777777" w:rsidR="00401C6C" w:rsidRDefault="00401C6C">
            <w:pPr>
              <w:pStyle w:val="Standard"/>
              <w:ind w:left="-57" w:right="-57"/>
              <w:jc w:val="center"/>
              <w:rPr>
                <w:b/>
                <w:bCs/>
                <w:sz w:val="20"/>
                <w:szCs w:val="20"/>
              </w:rPr>
            </w:pPr>
            <w:r>
              <w:rPr>
                <w:b/>
                <w:bCs/>
                <w:sz w:val="20"/>
                <w:szCs w:val="20"/>
              </w:rPr>
              <w:t>Moc umowna</w:t>
            </w:r>
          </w:p>
        </w:tc>
        <w:tc>
          <w:tcPr>
            <w:tcW w:w="1888" w:type="dxa"/>
            <w:shd w:val="clear" w:color="auto" w:fill="auto"/>
            <w:vAlign w:val="center"/>
          </w:tcPr>
          <w:p w14:paraId="59697159" w14:textId="77777777" w:rsidR="000817D3" w:rsidRDefault="00401C6C">
            <w:pPr>
              <w:pStyle w:val="Standard"/>
              <w:ind w:left="-57" w:right="-57"/>
              <w:jc w:val="center"/>
              <w:rPr>
                <w:b/>
                <w:bCs/>
                <w:sz w:val="20"/>
                <w:szCs w:val="20"/>
              </w:rPr>
            </w:pPr>
            <w:r>
              <w:rPr>
                <w:b/>
                <w:bCs/>
                <w:sz w:val="20"/>
                <w:szCs w:val="20"/>
              </w:rPr>
              <w:t xml:space="preserve">Przewidywane zużycie energii </w:t>
            </w:r>
          </w:p>
          <w:p w14:paraId="3D2E46D6" w14:textId="77777777" w:rsidR="00401C6C" w:rsidRDefault="00401C6C">
            <w:pPr>
              <w:pStyle w:val="Standard"/>
              <w:ind w:left="-57" w:right="-57"/>
              <w:jc w:val="center"/>
              <w:rPr>
                <w:b/>
                <w:bCs/>
                <w:sz w:val="20"/>
                <w:szCs w:val="20"/>
              </w:rPr>
            </w:pPr>
            <w:r>
              <w:rPr>
                <w:b/>
                <w:bCs/>
                <w:sz w:val="20"/>
                <w:szCs w:val="20"/>
              </w:rPr>
              <w:t>w okresie 12 m-cy</w:t>
            </w:r>
          </w:p>
        </w:tc>
      </w:tr>
      <w:tr w:rsidR="006C11FB" w14:paraId="3E1F68A3" w14:textId="77777777">
        <w:trPr>
          <w:trHeight w:val="851"/>
          <w:jc w:val="center"/>
        </w:trPr>
        <w:tc>
          <w:tcPr>
            <w:tcW w:w="2607" w:type="dxa"/>
            <w:shd w:val="clear" w:color="auto" w:fill="auto"/>
            <w:vAlign w:val="center"/>
          </w:tcPr>
          <w:p w14:paraId="139B6C52" w14:textId="77777777" w:rsidR="000F312E" w:rsidRDefault="000F312E">
            <w:pPr>
              <w:ind w:left="-57" w:right="-57"/>
              <w:jc w:val="center"/>
              <w:rPr>
                <w:sz w:val="20"/>
                <w:szCs w:val="20"/>
              </w:rPr>
            </w:pPr>
            <w:r>
              <w:rPr>
                <w:sz w:val="20"/>
                <w:szCs w:val="20"/>
              </w:rPr>
              <w:t>magazyn, garaże, oświetlenie</w:t>
            </w:r>
          </w:p>
          <w:p w14:paraId="4C97379E" w14:textId="77777777" w:rsidR="000817D3" w:rsidRDefault="000817D3">
            <w:pPr>
              <w:pStyle w:val="Standard"/>
              <w:ind w:left="-57" w:right="-57"/>
              <w:jc w:val="center"/>
              <w:rPr>
                <w:sz w:val="4"/>
                <w:szCs w:val="4"/>
              </w:rPr>
            </w:pPr>
          </w:p>
          <w:p w14:paraId="603D7A38" w14:textId="7EF34734" w:rsidR="000817D3" w:rsidRDefault="000F312E">
            <w:pPr>
              <w:pStyle w:val="Standard"/>
              <w:ind w:left="-57" w:right="-57"/>
              <w:jc w:val="center"/>
              <w:rPr>
                <w:sz w:val="20"/>
                <w:szCs w:val="20"/>
              </w:rPr>
            </w:pPr>
            <w:r>
              <w:rPr>
                <w:sz w:val="20"/>
                <w:szCs w:val="20"/>
              </w:rPr>
              <w:t>11-015 Olsztynek</w:t>
            </w:r>
          </w:p>
          <w:p w14:paraId="31869DAC" w14:textId="77777777" w:rsidR="00401C6C" w:rsidRDefault="000F312E">
            <w:pPr>
              <w:pStyle w:val="Standard"/>
              <w:ind w:left="-57" w:right="-57"/>
              <w:jc w:val="center"/>
              <w:rPr>
                <w:sz w:val="20"/>
                <w:szCs w:val="20"/>
              </w:rPr>
            </w:pPr>
            <w:r>
              <w:rPr>
                <w:sz w:val="20"/>
                <w:szCs w:val="20"/>
              </w:rPr>
              <w:t>ul. Mrongowiusza 35</w:t>
            </w:r>
          </w:p>
        </w:tc>
        <w:tc>
          <w:tcPr>
            <w:tcW w:w="2009" w:type="dxa"/>
            <w:shd w:val="clear" w:color="auto" w:fill="auto"/>
            <w:vAlign w:val="center"/>
          </w:tcPr>
          <w:p w14:paraId="145B9578" w14:textId="77777777" w:rsidR="00401C6C" w:rsidRDefault="000F312E">
            <w:pPr>
              <w:pStyle w:val="Standard"/>
              <w:ind w:left="-57" w:right="-57"/>
              <w:jc w:val="center"/>
              <w:rPr>
                <w:sz w:val="20"/>
                <w:szCs w:val="20"/>
              </w:rPr>
            </w:pPr>
            <w:r>
              <w:rPr>
                <w:sz w:val="20"/>
                <w:szCs w:val="20"/>
              </w:rPr>
              <w:t>590243864001247500</w:t>
            </w:r>
          </w:p>
        </w:tc>
        <w:tc>
          <w:tcPr>
            <w:tcW w:w="1131" w:type="dxa"/>
            <w:shd w:val="clear" w:color="auto" w:fill="auto"/>
            <w:vAlign w:val="center"/>
          </w:tcPr>
          <w:p w14:paraId="1881E919" w14:textId="77777777" w:rsidR="00401C6C" w:rsidRDefault="000F312E">
            <w:pPr>
              <w:pStyle w:val="Standard"/>
              <w:ind w:left="-57" w:right="-57"/>
              <w:jc w:val="center"/>
              <w:rPr>
                <w:sz w:val="20"/>
                <w:szCs w:val="20"/>
              </w:rPr>
            </w:pPr>
            <w:r>
              <w:rPr>
                <w:sz w:val="20"/>
                <w:szCs w:val="20"/>
              </w:rPr>
              <w:t>8168031</w:t>
            </w:r>
          </w:p>
        </w:tc>
        <w:tc>
          <w:tcPr>
            <w:tcW w:w="1043" w:type="dxa"/>
            <w:shd w:val="clear" w:color="auto" w:fill="auto"/>
            <w:vAlign w:val="center"/>
          </w:tcPr>
          <w:p w14:paraId="4AD82904" w14:textId="77777777" w:rsidR="00401C6C" w:rsidRDefault="000F312E">
            <w:pPr>
              <w:pStyle w:val="Standard"/>
              <w:ind w:left="-57" w:right="-57"/>
              <w:jc w:val="center"/>
              <w:rPr>
                <w:sz w:val="20"/>
                <w:szCs w:val="20"/>
              </w:rPr>
            </w:pPr>
            <w:r>
              <w:rPr>
                <w:sz w:val="20"/>
                <w:szCs w:val="20"/>
              </w:rPr>
              <w:t>C11</w:t>
            </w:r>
          </w:p>
        </w:tc>
        <w:tc>
          <w:tcPr>
            <w:tcW w:w="905" w:type="dxa"/>
            <w:shd w:val="clear" w:color="auto" w:fill="auto"/>
            <w:vAlign w:val="center"/>
          </w:tcPr>
          <w:p w14:paraId="61AA5C7D" w14:textId="3DDCE390" w:rsidR="00401C6C" w:rsidRDefault="000F312E">
            <w:pPr>
              <w:pStyle w:val="Standard"/>
              <w:ind w:left="-57" w:right="-57"/>
              <w:jc w:val="center"/>
              <w:rPr>
                <w:sz w:val="20"/>
                <w:szCs w:val="20"/>
              </w:rPr>
            </w:pPr>
            <w:r>
              <w:rPr>
                <w:sz w:val="20"/>
                <w:szCs w:val="20"/>
              </w:rPr>
              <w:t>20</w:t>
            </w:r>
            <w:r w:rsidR="006C11FB">
              <w:rPr>
                <w:sz w:val="20"/>
                <w:szCs w:val="20"/>
              </w:rPr>
              <w:t xml:space="preserve"> kW</w:t>
            </w:r>
          </w:p>
        </w:tc>
        <w:tc>
          <w:tcPr>
            <w:tcW w:w="1888" w:type="dxa"/>
            <w:shd w:val="clear" w:color="auto" w:fill="auto"/>
            <w:vAlign w:val="center"/>
          </w:tcPr>
          <w:p w14:paraId="5FAAFFAD" w14:textId="4AC38E15" w:rsidR="00401C6C" w:rsidRDefault="000F312E">
            <w:pPr>
              <w:pStyle w:val="Standard"/>
              <w:ind w:left="-57" w:right="-57"/>
              <w:jc w:val="center"/>
              <w:rPr>
                <w:sz w:val="20"/>
                <w:szCs w:val="20"/>
              </w:rPr>
            </w:pPr>
            <w:r>
              <w:rPr>
                <w:sz w:val="20"/>
                <w:szCs w:val="20"/>
              </w:rPr>
              <w:t>2</w:t>
            </w:r>
            <w:r w:rsidR="00CC67EA">
              <w:rPr>
                <w:sz w:val="20"/>
                <w:szCs w:val="20"/>
              </w:rPr>
              <w:t>0</w:t>
            </w:r>
            <w:r w:rsidR="005162D2">
              <w:rPr>
                <w:sz w:val="20"/>
                <w:szCs w:val="20"/>
              </w:rPr>
              <w:t>0</w:t>
            </w:r>
            <w:r>
              <w:rPr>
                <w:sz w:val="20"/>
                <w:szCs w:val="20"/>
              </w:rPr>
              <w:t>00,00</w:t>
            </w:r>
            <w:r w:rsidR="006C11FB">
              <w:rPr>
                <w:sz w:val="20"/>
                <w:szCs w:val="20"/>
              </w:rPr>
              <w:t xml:space="preserve"> kWh</w:t>
            </w:r>
          </w:p>
        </w:tc>
      </w:tr>
      <w:tr w:rsidR="006C11FB" w14:paraId="52F9D25F" w14:textId="77777777">
        <w:trPr>
          <w:trHeight w:val="851"/>
          <w:jc w:val="center"/>
        </w:trPr>
        <w:tc>
          <w:tcPr>
            <w:tcW w:w="2607" w:type="dxa"/>
            <w:shd w:val="clear" w:color="auto" w:fill="auto"/>
            <w:vAlign w:val="center"/>
          </w:tcPr>
          <w:p w14:paraId="55FE186B" w14:textId="77777777" w:rsidR="00401C6C" w:rsidRDefault="000817D3">
            <w:pPr>
              <w:pStyle w:val="Standard"/>
              <w:ind w:left="-57" w:right="-57"/>
              <w:jc w:val="center"/>
              <w:rPr>
                <w:sz w:val="20"/>
                <w:szCs w:val="20"/>
              </w:rPr>
            </w:pPr>
            <w:r>
              <w:rPr>
                <w:sz w:val="20"/>
                <w:szCs w:val="20"/>
              </w:rPr>
              <w:t>biuro Nadleśnictwa</w:t>
            </w:r>
          </w:p>
          <w:p w14:paraId="0FFBAD98" w14:textId="77777777" w:rsidR="006E6348" w:rsidRDefault="006E6348">
            <w:pPr>
              <w:pStyle w:val="Standard"/>
              <w:ind w:left="-57" w:right="-57"/>
              <w:jc w:val="center"/>
              <w:rPr>
                <w:sz w:val="4"/>
                <w:szCs w:val="4"/>
              </w:rPr>
            </w:pPr>
          </w:p>
          <w:p w14:paraId="453F6933" w14:textId="20ED77D2" w:rsidR="006E6348" w:rsidRDefault="006E6348">
            <w:pPr>
              <w:pStyle w:val="Standard"/>
              <w:ind w:left="-57" w:right="-57"/>
              <w:jc w:val="center"/>
              <w:rPr>
                <w:sz w:val="20"/>
                <w:szCs w:val="20"/>
              </w:rPr>
            </w:pPr>
            <w:r>
              <w:rPr>
                <w:sz w:val="20"/>
                <w:szCs w:val="20"/>
              </w:rPr>
              <w:t>11-015 Olsztynek</w:t>
            </w:r>
          </w:p>
          <w:p w14:paraId="2CB3A039" w14:textId="77777777" w:rsidR="006E6348" w:rsidRDefault="006E6348">
            <w:pPr>
              <w:pStyle w:val="Standard"/>
              <w:ind w:left="-57" w:right="-57"/>
              <w:jc w:val="center"/>
              <w:rPr>
                <w:sz w:val="20"/>
                <w:szCs w:val="20"/>
              </w:rPr>
            </w:pPr>
            <w:r>
              <w:rPr>
                <w:sz w:val="20"/>
                <w:szCs w:val="20"/>
              </w:rPr>
              <w:t>ul. Mrongowiusza 35</w:t>
            </w:r>
          </w:p>
        </w:tc>
        <w:tc>
          <w:tcPr>
            <w:tcW w:w="2009" w:type="dxa"/>
            <w:shd w:val="clear" w:color="auto" w:fill="auto"/>
            <w:vAlign w:val="center"/>
          </w:tcPr>
          <w:p w14:paraId="02166442" w14:textId="77777777" w:rsidR="00401C6C" w:rsidRDefault="006E6348">
            <w:pPr>
              <w:pStyle w:val="Standard"/>
              <w:ind w:left="-57" w:right="-57"/>
              <w:jc w:val="center"/>
              <w:rPr>
                <w:sz w:val="20"/>
                <w:szCs w:val="20"/>
              </w:rPr>
            </w:pPr>
            <w:r>
              <w:rPr>
                <w:sz w:val="20"/>
                <w:szCs w:val="20"/>
              </w:rPr>
              <w:t>590243864001744252</w:t>
            </w:r>
          </w:p>
        </w:tc>
        <w:tc>
          <w:tcPr>
            <w:tcW w:w="1131" w:type="dxa"/>
            <w:shd w:val="clear" w:color="auto" w:fill="auto"/>
            <w:vAlign w:val="center"/>
          </w:tcPr>
          <w:p w14:paraId="3010D846" w14:textId="77777777" w:rsidR="00401C6C" w:rsidRDefault="006E6348">
            <w:pPr>
              <w:pStyle w:val="Standard"/>
              <w:jc w:val="center"/>
              <w:rPr>
                <w:sz w:val="20"/>
                <w:szCs w:val="20"/>
              </w:rPr>
            </w:pPr>
            <w:r>
              <w:rPr>
                <w:sz w:val="20"/>
                <w:szCs w:val="20"/>
              </w:rPr>
              <w:t>13696027</w:t>
            </w:r>
          </w:p>
        </w:tc>
        <w:tc>
          <w:tcPr>
            <w:tcW w:w="1043" w:type="dxa"/>
            <w:shd w:val="clear" w:color="auto" w:fill="auto"/>
            <w:vAlign w:val="center"/>
          </w:tcPr>
          <w:p w14:paraId="1145B3ED" w14:textId="77777777" w:rsidR="00401C6C" w:rsidRDefault="006E6348">
            <w:pPr>
              <w:pStyle w:val="Standard"/>
              <w:jc w:val="center"/>
              <w:rPr>
                <w:sz w:val="20"/>
                <w:szCs w:val="20"/>
              </w:rPr>
            </w:pPr>
            <w:r>
              <w:rPr>
                <w:sz w:val="20"/>
                <w:szCs w:val="20"/>
              </w:rPr>
              <w:t>C11</w:t>
            </w:r>
          </w:p>
        </w:tc>
        <w:tc>
          <w:tcPr>
            <w:tcW w:w="905" w:type="dxa"/>
            <w:shd w:val="clear" w:color="auto" w:fill="auto"/>
            <w:vAlign w:val="center"/>
          </w:tcPr>
          <w:p w14:paraId="3A1441F2" w14:textId="5E12D1AB" w:rsidR="00401C6C" w:rsidRDefault="006C11FB">
            <w:pPr>
              <w:pStyle w:val="Standard"/>
              <w:ind w:left="-57" w:right="-57"/>
              <w:jc w:val="center"/>
              <w:rPr>
                <w:sz w:val="20"/>
                <w:szCs w:val="20"/>
              </w:rPr>
            </w:pPr>
            <w:r>
              <w:rPr>
                <w:sz w:val="20"/>
                <w:szCs w:val="20"/>
              </w:rPr>
              <w:t>20 kW</w:t>
            </w:r>
          </w:p>
        </w:tc>
        <w:tc>
          <w:tcPr>
            <w:tcW w:w="1888" w:type="dxa"/>
            <w:shd w:val="clear" w:color="auto" w:fill="auto"/>
            <w:vAlign w:val="center"/>
          </w:tcPr>
          <w:p w14:paraId="3632B941" w14:textId="476A4795" w:rsidR="00401C6C" w:rsidRDefault="005162D2">
            <w:pPr>
              <w:pStyle w:val="Standard"/>
              <w:jc w:val="center"/>
              <w:rPr>
                <w:sz w:val="20"/>
                <w:szCs w:val="20"/>
              </w:rPr>
            </w:pPr>
            <w:r>
              <w:rPr>
                <w:sz w:val="20"/>
                <w:szCs w:val="20"/>
              </w:rPr>
              <w:t>3</w:t>
            </w:r>
            <w:r w:rsidR="00934E15">
              <w:rPr>
                <w:sz w:val="20"/>
                <w:szCs w:val="20"/>
              </w:rPr>
              <w:t>2</w:t>
            </w:r>
            <w:r>
              <w:rPr>
                <w:sz w:val="20"/>
                <w:szCs w:val="20"/>
              </w:rPr>
              <w:t>0</w:t>
            </w:r>
            <w:r w:rsidR="006C11FB">
              <w:rPr>
                <w:sz w:val="20"/>
                <w:szCs w:val="20"/>
              </w:rPr>
              <w:t>00,00 kWh</w:t>
            </w:r>
          </w:p>
        </w:tc>
      </w:tr>
      <w:tr w:rsidR="006C11FB" w14:paraId="6BE2B9E6" w14:textId="77777777">
        <w:trPr>
          <w:trHeight w:val="851"/>
          <w:jc w:val="center"/>
        </w:trPr>
        <w:tc>
          <w:tcPr>
            <w:tcW w:w="2607" w:type="dxa"/>
            <w:shd w:val="clear" w:color="auto" w:fill="auto"/>
            <w:vAlign w:val="center"/>
          </w:tcPr>
          <w:p w14:paraId="55086598" w14:textId="77777777" w:rsidR="00401C6C" w:rsidRDefault="006E6348">
            <w:pPr>
              <w:pStyle w:val="Standard"/>
              <w:ind w:left="-57" w:right="-57"/>
              <w:jc w:val="center"/>
              <w:rPr>
                <w:sz w:val="20"/>
                <w:szCs w:val="20"/>
              </w:rPr>
            </w:pPr>
            <w:r>
              <w:rPr>
                <w:sz w:val="20"/>
                <w:szCs w:val="20"/>
              </w:rPr>
              <w:t>Gospodarstwo Szkółkarskie</w:t>
            </w:r>
          </w:p>
          <w:p w14:paraId="3E2E6551" w14:textId="77777777" w:rsidR="006E6348" w:rsidRDefault="006E6348">
            <w:pPr>
              <w:pStyle w:val="Standard"/>
              <w:ind w:left="-57" w:right="-57"/>
              <w:jc w:val="center"/>
              <w:rPr>
                <w:sz w:val="4"/>
                <w:szCs w:val="4"/>
              </w:rPr>
            </w:pPr>
          </w:p>
          <w:p w14:paraId="14F199E3" w14:textId="77777777" w:rsidR="006E6348" w:rsidRDefault="006E6348">
            <w:pPr>
              <w:pStyle w:val="Standard"/>
              <w:ind w:left="-57" w:right="-57"/>
              <w:jc w:val="center"/>
              <w:rPr>
                <w:sz w:val="20"/>
                <w:szCs w:val="20"/>
              </w:rPr>
            </w:pPr>
            <w:r>
              <w:rPr>
                <w:sz w:val="20"/>
                <w:szCs w:val="20"/>
              </w:rPr>
              <w:t>14-107 Gierzwałd</w:t>
            </w:r>
          </w:p>
          <w:p w14:paraId="13A95B8E" w14:textId="77777777" w:rsidR="006E6348" w:rsidRDefault="006E6348">
            <w:pPr>
              <w:pStyle w:val="Standard"/>
              <w:ind w:left="-57" w:right="-57"/>
              <w:jc w:val="center"/>
              <w:rPr>
                <w:sz w:val="20"/>
                <w:szCs w:val="20"/>
              </w:rPr>
            </w:pPr>
            <w:r>
              <w:rPr>
                <w:sz w:val="20"/>
                <w:szCs w:val="20"/>
              </w:rPr>
              <w:t>Mielno 164</w:t>
            </w:r>
          </w:p>
        </w:tc>
        <w:tc>
          <w:tcPr>
            <w:tcW w:w="2009" w:type="dxa"/>
            <w:shd w:val="clear" w:color="auto" w:fill="auto"/>
            <w:vAlign w:val="center"/>
          </w:tcPr>
          <w:p w14:paraId="632A1201" w14:textId="77777777" w:rsidR="00401C6C" w:rsidRDefault="006E6348">
            <w:pPr>
              <w:pStyle w:val="Standard"/>
              <w:ind w:left="-57" w:right="-57"/>
              <w:jc w:val="center"/>
              <w:rPr>
                <w:sz w:val="20"/>
                <w:szCs w:val="20"/>
              </w:rPr>
            </w:pPr>
            <w:r>
              <w:rPr>
                <w:sz w:val="20"/>
                <w:szCs w:val="20"/>
              </w:rPr>
              <w:t>590243864001335153</w:t>
            </w:r>
          </w:p>
        </w:tc>
        <w:tc>
          <w:tcPr>
            <w:tcW w:w="1131" w:type="dxa"/>
            <w:shd w:val="clear" w:color="auto" w:fill="auto"/>
            <w:vAlign w:val="center"/>
          </w:tcPr>
          <w:p w14:paraId="60018BC6" w14:textId="77777777" w:rsidR="00401C6C" w:rsidRDefault="006E6348">
            <w:pPr>
              <w:pStyle w:val="Standard"/>
              <w:jc w:val="center"/>
              <w:rPr>
                <w:sz w:val="20"/>
                <w:szCs w:val="20"/>
              </w:rPr>
            </w:pPr>
            <w:r>
              <w:rPr>
                <w:sz w:val="20"/>
                <w:szCs w:val="20"/>
              </w:rPr>
              <w:t>1355649</w:t>
            </w:r>
          </w:p>
        </w:tc>
        <w:tc>
          <w:tcPr>
            <w:tcW w:w="1043" w:type="dxa"/>
            <w:shd w:val="clear" w:color="auto" w:fill="auto"/>
            <w:vAlign w:val="center"/>
          </w:tcPr>
          <w:p w14:paraId="365C1BD9" w14:textId="32364BC0" w:rsidR="00401C6C" w:rsidRDefault="006E6348">
            <w:pPr>
              <w:pStyle w:val="Standard"/>
              <w:jc w:val="center"/>
              <w:rPr>
                <w:sz w:val="20"/>
                <w:szCs w:val="20"/>
              </w:rPr>
            </w:pPr>
            <w:r>
              <w:rPr>
                <w:sz w:val="20"/>
                <w:szCs w:val="20"/>
              </w:rPr>
              <w:t>C</w:t>
            </w:r>
            <w:r w:rsidR="00934E15">
              <w:rPr>
                <w:sz w:val="20"/>
                <w:szCs w:val="20"/>
              </w:rPr>
              <w:t>2</w:t>
            </w:r>
            <w:r>
              <w:rPr>
                <w:sz w:val="20"/>
                <w:szCs w:val="20"/>
              </w:rPr>
              <w:t>1</w:t>
            </w:r>
          </w:p>
        </w:tc>
        <w:tc>
          <w:tcPr>
            <w:tcW w:w="905" w:type="dxa"/>
            <w:shd w:val="clear" w:color="auto" w:fill="auto"/>
            <w:vAlign w:val="center"/>
          </w:tcPr>
          <w:p w14:paraId="06A52369" w14:textId="13027C78" w:rsidR="00401C6C" w:rsidRDefault="006C11FB">
            <w:pPr>
              <w:pStyle w:val="Standard"/>
              <w:ind w:left="-57" w:right="-57"/>
              <w:jc w:val="center"/>
              <w:rPr>
                <w:sz w:val="20"/>
                <w:szCs w:val="20"/>
              </w:rPr>
            </w:pPr>
            <w:r>
              <w:rPr>
                <w:sz w:val="20"/>
                <w:szCs w:val="20"/>
              </w:rPr>
              <w:t>130 kW</w:t>
            </w:r>
          </w:p>
        </w:tc>
        <w:tc>
          <w:tcPr>
            <w:tcW w:w="1888" w:type="dxa"/>
            <w:shd w:val="clear" w:color="auto" w:fill="auto"/>
            <w:vAlign w:val="center"/>
          </w:tcPr>
          <w:p w14:paraId="084C22E1" w14:textId="158D02FC" w:rsidR="00401C6C" w:rsidRDefault="00934E15">
            <w:pPr>
              <w:pStyle w:val="Standard"/>
              <w:jc w:val="center"/>
              <w:rPr>
                <w:sz w:val="20"/>
                <w:szCs w:val="20"/>
              </w:rPr>
            </w:pPr>
            <w:r>
              <w:rPr>
                <w:sz w:val="20"/>
                <w:szCs w:val="20"/>
              </w:rPr>
              <w:t>205</w:t>
            </w:r>
            <w:r w:rsidR="00F83B14">
              <w:rPr>
                <w:sz w:val="20"/>
                <w:szCs w:val="20"/>
              </w:rPr>
              <w:t>0</w:t>
            </w:r>
            <w:r w:rsidR="006C11FB">
              <w:rPr>
                <w:sz w:val="20"/>
                <w:szCs w:val="20"/>
              </w:rPr>
              <w:t>00,00 kWh</w:t>
            </w:r>
          </w:p>
        </w:tc>
      </w:tr>
      <w:tr w:rsidR="006C11FB" w14:paraId="0BA47631" w14:textId="77777777">
        <w:trPr>
          <w:trHeight w:val="851"/>
          <w:jc w:val="center"/>
        </w:trPr>
        <w:tc>
          <w:tcPr>
            <w:tcW w:w="2607" w:type="dxa"/>
            <w:shd w:val="clear" w:color="auto" w:fill="auto"/>
            <w:vAlign w:val="center"/>
          </w:tcPr>
          <w:p w14:paraId="7402942D" w14:textId="77777777" w:rsidR="00401C6C" w:rsidRDefault="006E6348">
            <w:pPr>
              <w:pStyle w:val="Standard"/>
              <w:ind w:left="-57" w:right="-57"/>
              <w:jc w:val="center"/>
              <w:rPr>
                <w:sz w:val="20"/>
                <w:szCs w:val="20"/>
              </w:rPr>
            </w:pPr>
            <w:r>
              <w:rPr>
                <w:sz w:val="20"/>
                <w:szCs w:val="20"/>
              </w:rPr>
              <w:t>Kancelaria Leśnictwa Tymawa</w:t>
            </w:r>
          </w:p>
          <w:p w14:paraId="21FB8AA5" w14:textId="77777777" w:rsidR="006E6348" w:rsidRDefault="006E6348">
            <w:pPr>
              <w:pStyle w:val="Standard"/>
              <w:ind w:left="-57" w:right="-57"/>
              <w:jc w:val="center"/>
              <w:rPr>
                <w:sz w:val="4"/>
                <w:szCs w:val="4"/>
              </w:rPr>
            </w:pPr>
          </w:p>
          <w:p w14:paraId="4A029F00" w14:textId="77777777" w:rsidR="006E6348" w:rsidRDefault="006E6348">
            <w:pPr>
              <w:pStyle w:val="Standard"/>
              <w:ind w:left="-57" w:right="-57"/>
              <w:jc w:val="center"/>
              <w:rPr>
                <w:sz w:val="20"/>
                <w:szCs w:val="20"/>
              </w:rPr>
            </w:pPr>
            <w:r>
              <w:rPr>
                <w:sz w:val="20"/>
                <w:szCs w:val="20"/>
              </w:rPr>
              <w:t>14-107 Gierzwałd</w:t>
            </w:r>
          </w:p>
          <w:p w14:paraId="619AB2A4" w14:textId="77777777" w:rsidR="006E6348" w:rsidRDefault="006E6348">
            <w:pPr>
              <w:pStyle w:val="Standard"/>
              <w:ind w:left="-57" w:right="-57"/>
              <w:jc w:val="center"/>
              <w:rPr>
                <w:sz w:val="20"/>
                <w:szCs w:val="20"/>
              </w:rPr>
            </w:pPr>
            <w:r>
              <w:rPr>
                <w:sz w:val="20"/>
                <w:szCs w:val="20"/>
              </w:rPr>
              <w:t>Mielno 31A</w:t>
            </w:r>
          </w:p>
        </w:tc>
        <w:tc>
          <w:tcPr>
            <w:tcW w:w="2009" w:type="dxa"/>
            <w:shd w:val="clear" w:color="auto" w:fill="auto"/>
            <w:vAlign w:val="center"/>
          </w:tcPr>
          <w:p w14:paraId="06C43026" w14:textId="77777777" w:rsidR="00401C6C" w:rsidRDefault="006E6348">
            <w:pPr>
              <w:pStyle w:val="Standard"/>
              <w:ind w:left="-57" w:right="-57"/>
              <w:jc w:val="center"/>
              <w:rPr>
                <w:sz w:val="20"/>
                <w:szCs w:val="20"/>
              </w:rPr>
            </w:pPr>
            <w:r>
              <w:rPr>
                <w:sz w:val="20"/>
                <w:szCs w:val="20"/>
              </w:rPr>
              <w:t>590243864041179991</w:t>
            </w:r>
          </w:p>
        </w:tc>
        <w:tc>
          <w:tcPr>
            <w:tcW w:w="1131" w:type="dxa"/>
            <w:shd w:val="clear" w:color="auto" w:fill="auto"/>
            <w:vAlign w:val="center"/>
          </w:tcPr>
          <w:p w14:paraId="2F77CADE" w14:textId="77777777" w:rsidR="00401C6C" w:rsidRDefault="006E6348">
            <w:pPr>
              <w:pStyle w:val="Standard"/>
              <w:jc w:val="center"/>
              <w:rPr>
                <w:sz w:val="20"/>
                <w:szCs w:val="20"/>
              </w:rPr>
            </w:pPr>
            <w:r>
              <w:rPr>
                <w:sz w:val="20"/>
                <w:szCs w:val="20"/>
              </w:rPr>
              <w:t>96075728</w:t>
            </w:r>
          </w:p>
        </w:tc>
        <w:tc>
          <w:tcPr>
            <w:tcW w:w="1043" w:type="dxa"/>
            <w:shd w:val="clear" w:color="auto" w:fill="auto"/>
            <w:vAlign w:val="center"/>
          </w:tcPr>
          <w:p w14:paraId="21AE6ECE" w14:textId="77777777" w:rsidR="00401C6C" w:rsidRDefault="006E6348">
            <w:pPr>
              <w:pStyle w:val="Standard"/>
              <w:jc w:val="center"/>
              <w:rPr>
                <w:sz w:val="20"/>
                <w:szCs w:val="20"/>
              </w:rPr>
            </w:pPr>
            <w:r>
              <w:rPr>
                <w:sz w:val="20"/>
                <w:szCs w:val="20"/>
              </w:rPr>
              <w:t>C11</w:t>
            </w:r>
          </w:p>
        </w:tc>
        <w:tc>
          <w:tcPr>
            <w:tcW w:w="905" w:type="dxa"/>
            <w:shd w:val="clear" w:color="auto" w:fill="auto"/>
            <w:vAlign w:val="center"/>
          </w:tcPr>
          <w:p w14:paraId="3BDDAB9A" w14:textId="616DB7EC" w:rsidR="00401C6C" w:rsidRDefault="006C11FB">
            <w:pPr>
              <w:pStyle w:val="Standard"/>
              <w:ind w:left="-57" w:right="-57"/>
              <w:jc w:val="center"/>
              <w:rPr>
                <w:sz w:val="20"/>
                <w:szCs w:val="20"/>
              </w:rPr>
            </w:pPr>
            <w:r>
              <w:rPr>
                <w:sz w:val="20"/>
                <w:szCs w:val="20"/>
              </w:rPr>
              <w:t>19,5 kW</w:t>
            </w:r>
          </w:p>
        </w:tc>
        <w:tc>
          <w:tcPr>
            <w:tcW w:w="1888" w:type="dxa"/>
            <w:shd w:val="clear" w:color="auto" w:fill="auto"/>
            <w:vAlign w:val="center"/>
          </w:tcPr>
          <w:p w14:paraId="420D19D2" w14:textId="63945EEF" w:rsidR="00401C6C" w:rsidRDefault="00934E15">
            <w:pPr>
              <w:pStyle w:val="Standard"/>
              <w:jc w:val="center"/>
              <w:rPr>
                <w:sz w:val="20"/>
                <w:szCs w:val="20"/>
              </w:rPr>
            </w:pPr>
            <w:r>
              <w:rPr>
                <w:sz w:val="20"/>
                <w:szCs w:val="20"/>
              </w:rPr>
              <w:t>8</w:t>
            </w:r>
            <w:r w:rsidR="006C11FB">
              <w:rPr>
                <w:sz w:val="20"/>
                <w:szCs w:val="20"/>
              </w:rPr>
              <w:t>000,00 kWh</w:t>
            </w:r>
          </w:p>
        </w:tc>
      </w:tr>
      <w:tr w:rsidR="00F568FA" w14:paraId="2333B9F6" w14:textId="77777777">
        <w:trPr>
          <w:trHeight w:val="851"/>
          <w:jc w:val="center"/>
        </w:trPr>
        <w:tc>
          <w:tcPr>
            <w:tcW w:w="2607" w:type="dxa"/>
            <w:shd w:val="clear" w:color="auto" w:fill="auto"/>
            <w:vAlign w:val="center"/>
          </w:tcPr>
          <w:p w14:paraId="0A5311F0" w14:textId="77777777" w:rsidR="00F568FA" w:rsidRPr="00F568FA" w:rsidRDefault="00F568FA" w:rsidP="00F568FA">
            <w:pPr>
              <w:pStyle w:val="Standard"/>
              <w:ind w:left="-57" w:right="-57"/>
              <w:jc w:val="center"/>
              <w:rPr>
                <w:sz w:val="20"/>
                <w:szCs w:val="20"/>
              </w:rPr>
            </w:pPr>
            <w:r w:rsidRPr="00F568FA">
              <w:rPr>
                <w:sz w:val="20"/>
                <w:szCs w:val="20"/>
              </w:rPr>
              <w:t>Obiekt niemieszkalny</w:t>
            </w:r>
          </w:p>
          <w:p w14:paraId="181AFC26" w14:textId="5E47FE04" w:rsidR="00A11185" w:rsidRDefault="00A11185" w:rsidP="00A11185">
            <w:pPr>
              <w:pStyle w:val="Standard"/>
              <w:ind w:left="-57" w:right="-57"/>
              <w:jc w:val="center"/>
              <w:rPr>
                <w:sz w:val="20"/>
                <w:szCs w:val="20"/>
              </w:rPr>
            </w:pPr>
            <w:r w:rsidRPr="00F568FA">
              <w:rPr>
                <w:sz w:val="20"/>
                <w:szCs w:val="20"/>
              </w:rPr>
              <w:t>14-260 Lubawa</w:t>
            </w:r>
          </w:p>
          <w:p w14:paraId="6E3F6E85" w14:textId="2567BF1A" w:rsidR="00F568FA" w:rsidRDefault="00F568FA" w:rsidP="00A11185">
            <w:pPr>
              <w:pStyle w:val="Standard"/>
              <w:ind w:left="-57" w:right="-57"/>
              <w:jc w:val="center"/>
              <w:rPr>
                <w:sz w:val="20"/>
                <w:szCs w:val="20"/>
              </w:rPr>
            </w:pPr>
            <w:r w:rsidRPr="00F568FA">
              <w:rPr>
                <w:sz w:val="20"/>
                <w:szCs w:val="20"/>
              </w:rPr>
              <w:t>Napromek 16</w:t>
            </w:r>
          </w:p>
        </w:tc>
        <w:tc>
          <w:tcPr>
            <w:tcW w:w="2009" w:type="dxa"/>
            <w:shd w:val="clear" w:color="auto" w:fill="auto"/>
            <w:vAlign w:val="center"/>
          </w:tcPr>
          <w:p w14:paraId="127FC56D" w14:textId="030E88CD" w:rsidR="00F568FA" w:rsidRDefault="00F568FA">
            <w:pPr>
              <w:pStyle w:val="Standard"/>
              <w:ind w:left="-57" w:right="-57"/>
              <w:jc w:val="center"/>
              <w:rPr>
                <w:sz w:val="20"/>
                <w:szCs w:val="20"/>
              </w:rPr>
            </w:pPr>
            <w:r w:rsidRPr="00F568FA">
              <w:rPr>
                <w:sz w:val="20"/>
                <w:szCs w:val="20"/>
              </w:rPr>
              <w:t>590243864044014701</w:t>
            </w:r>
          </w:p>
        </w:tc>
        <w:tc>
          <w:tcPr>
            <w:tcW w:w="1131" w:type="dxa"/>
            <w:shd w:val="clear" w:color="auto" w:fill="auto"/>
            <w:vAlign w:val="center"/>
          </w:tcPr>
          <w:p w14:paraId="4AC5A9A8" w14:textId="1C5F2B67" w:rsidR="00F568FA" w:rsidRDefault="00F568FA">
            <w:pPr>
              <w:pStyle w:val="Standard"/>
              <w:jc w:val="center"/>
              <w:rPr>
                <w:sz w:val="20"/>
                <w:szCs w:val="20"/>
              </w:rPr>
            </w:pPr>
            <w:r>
              <w:rPr>
                <w:sz w:val="20"/>
                <w:szCs w:val="20"/>
              </w:rPr>
              <w:t>13118277</w:t>
            </w:r>
          </w:p>
        </w:tc>
        <w:tc>
          <w:tcPr>
            <w:tcW w:w="1043" w:type="dxa"/>
            <w:shd w:val="clear" w:color="auto" w:fill="auto"/>
            <w:vAlign w:val="center"/>
          </w:tcPr>
          <w:p w14:paraId="1C0A81AD" w14:textId="381DBC1B" w:rsidR="00F568FA" w:rsidRDefault="00F568FA">
            <w:pPr>
              <w:pStyle w:val="Standard"/>
              <w:jc w:val="center"/>
              <w:rPr>
                <w:sz w:val="20"/>
                <w:szCs w:val="20"/>
              </w:rPr>
            </w:pPr>
            <w:r>
              <w:rPr>
                <w:sz w:val="20"/>
                <w:szCs w:val="20"/>
              </w:rPr>
              <w:t>C11</w:t>
            </w:r>
          </w:p>
        </w:tc>
        <w:tc>
          <w:tcPr>
            <w:tcW w:w="905" w:type="dxa"/>
            <w:shd w:val="clear" w:color="auto" w:fill="auto"/>
            <w:vAlign w:val="center"/>
          </w:tcPr>
          <w:p w14:paraId="5A1D960C" w14:textId="74C8CA6F" w:rsidR="00F568FA" w:rsidRPr="00F568FA" w:rsidRDefault="00F568FA">
            <w:pPr>
              <w:pStyle w:val="Standard"/>
              <w:ind w:left="-57" w:right="-57"/>
              <w:jc w:val="center"/>
              <w:rPr>
                <w:sz w:val="20"/>
                <w:szCs w:val="20"/>
              </w:rPr>
            </w:pPr>
            <w:r w:rsidRPr="00F568FA">
              <w:rPr>
                <w:sz w:val="20"/>
                <w:szCs w:val="20"/>
              </w:rPr>
              <w:t>10,5 kW</w:t>
            </w:r>
          </w:p>
        </w:tc>
        <w:tc>
          <w:tcPr>
            <w:tcW w:w="1888" w:type="dxa"/>
            <w:shd w:val="clear" w:color="auto" w:fill="auto"/>
            <w:vAlign w:val="center"/>
          </w:tcPr>
          <w:p w14:paraId="3C124026" w14:textId="7F74745D" w:rsidR="00F568FA" w:rsidRDefault="00F568FA">
            <w:pPr>
              <w:pStyle w:val="Standard"/>
              <w:jc w:val="center"/>
              <w:rPr>
                <w:sz w:val="20"/>
                <w:szCs w:val="20"/>
              </w:rPr>
            </w:pPr>
            <w:r>
              <w:rPr>
                <w:sz w:val="20"/>
                <w:szCs w:val="20"/>
              </w:rPr>
              <w:t>5000,00 kWh</w:t>
            </w:r>
          </w:p>
        </w:tc>
      </w:tr>
      <w:tr w:rsidR="006C11FB" w14:paraId="24130001" w14:textId="77777777">
        <w:trPr>
          <w:trHeight w:val="454"/>
          <w:jc w:val="center"/>
        </w:trPr>
        <w:tc>
          <w:tcPr>
            <w:tcW w:w="7695" w:type="dxa"/>
            <w:gridSpan w:val="5"/>
            <w:shd w:val="clear" w:color="auto" w:fill="auto"/>
            <w:vAlign w:val="center"/>
          </w:tcPr>
          <w:p w14:paraId="3F56F4AA" w14:textId="77777777" w:rsidR="006C11FB" w:rsidRDefault="006C11FB">
            <w:pPr>
              <w:pStyle w:val="Standard"/>
              <w:ind w:left="-57" w:right="102"/>
              <w:jc w:val="right"/>
              <w:rPr>
                <w:sz w:val="20"/>
                <w:szCs w:val="20"/>
              </w:rPr>
            </w:pPr>
            <w:r>
              <w:rPr>
                <w:sz w:val="20"/>
                <w:szCs w:val="20"/>
              </w:rPr>
              <w:t>RAZEM</w:t>
            </w:r>
          </w:p>
        </w:tc>
        <w:tc>
          <w:tcPr>
            <w:tcW w:w="1888" w:type="dxa"/>
            <w:shd w:val="clear" w:color="auto" w:fill="auto"/>
            <w:vAlign w:val="center"/>
          </w:tcPr>
          <w:p w14:paraId="05F506D0" w14:textId="5376E1CB" w:rsidR="006C11FB" w:rsidRPr="00934E15" w:rsidRDefault="005162D2">
            <w:pPr>
              <w:pStyle w:val="Standard"/>
              <w:jc w:val="center"/>
              <w:rPr>
                <w:b/>
                <w:bCs/>
                <w:sz w:val="20"/>
                <w:szCs w:val="20"/>
              </w:rPr>
            </w:pPr>
            <w:r w:rsidRPr="00934E15">
              <w:rPr>
                <w:b/>
                <w:bCs/>
                <w:sz w:val="20"/>
                <w:szCs w:val="20"/>
              </w:rPr>
              <w:t>2</w:t>
            </w:r>
            <w:r w:rsidR="00A11185">
              <w:rPr>
                <w:b/>
                <w:bCs/>
                <w:sz w:val="20"/>
                <w:szCs w:val="20"/>
              </w:rPr>
              <w:t>7</w:t>
            </w:r>
            <w:r w:rsidR="00CC67EA">
              <w:rPr>
                <w:b/>
                <w:bCs/>
                <w:sz w:val="20"/>
                <w:szCs w:val="20"/>
              </w:rPr>
              <w:t>0</w:t>
            </w:r>
            <w:r w:rsidR="00F83B14" w:rsidRPr="00934E15">
              <w:rPr>
                <w:b/>
                <w:bCs/>
                <w:sz w:val="20"/>
                <w:szCs w:val="20"/>
              </w:rPr>
              <w:t>0</w:t>
            </w:r>
            <w:r w:rsidRPr="00934E15">
              <w:rPr>
                <w:b/>
                <w:bCs/>
                <w:sz w:val="20"/>
                <w:szCs w:val="20"/>
              </w:rPr>
              <w:t>00,00 kWh</w:t>
            </w:r>
          </w:p>
        </w:tc>
      </w:tr>
    </w:tbl>
    <w:p w14:paraId="07F3E0D0" w14:textId="77777777" w:rsidR="005C7121" w:rsidRPr="005C7121" w:rsidRDefault="005C7121" w:rsidP="005C7121">
      <w:pPr>
        <w:pStyle w:val="Standard"/>
        <w:shd w:val="clear" w:color="auto" w:fill="FFFFFF"/>
        <w:spacing w:line="280" w:lineRule="atLeast"/>
        <w:jc w:val="both"/>
      </w:pPr>
    </w:p>
    <w:p w14:paraId="320432C0" w14:textId="4DCF599E" w:rsidR="00D464E5" w:rsidRDefault="00D464E5" w:rsidP="00827F70">
      <w:pPr>
        <w:pStyle w:val="Standard"/>
        <w:numPr>
          <w:ilvl w:val="0"/>
          <w:numId w:val="22"/>
        </w:numPr>
        <w:shd w:val="clear" w:color="auto" w:fill="FFFFFF"/>
        <w:spacing w:line="280" w:lineRule="atLeast"/>
        <w:ind w:left="284" w:hanging="284"/>
        <w:jc w:val="both"/>
      </w:pPr>
      <w:r w:rsidRPr="005C7121">
        <w:t xml:space="preserve">Dostawy energii elektrycznej będą realizowane w o kresie </w:t>
      </w:r>
      <w:r w:rsidR="0045421E" w:rsidRPr="0045421E">
        <w:t>12 miesięcy licząc od rozpoczęcia sprzedaży energii elektrycznej, tj. od pozytywnie przeprowadzonej zmiany sprzedawcy dla przynajmniej jednego punktu poboru energii elektrycznej</w:t>
      </w:r>
      <w:r w:rsidR="00827F70">
        <w:t>.</w:t>
      </w:r>
    </w:p>
    <w:p w14:paraId="3E101004" w14:textId="77777777" w:rsidR="00934E15" w:rsidRPr="00934E15" w:rsidRDefault="00934E15" w:rsidP="00934E15">
      <w:pPr>
        <w:pStyle w:val="Standard"/>
        <w:numPr>
          <w:ilvl w:val="0"/>
          <w:numId w:val="22"/>
        </w:numPr>
        <w:shd w:val="clear" w:color="auto" w:fill="FFFFFF"/>
        <w:spacing w:line="280" w:lineRule="atLeast"/>
        <w:ind w:left="284" w:hanging="284"/>
        <w:jc w:val="both"/>
      </w:pPr>
      <w:bookmarkStart w:id="0" w:name="_Hlk137045885"/>
      <w:r w:rsidRPr="00934E15">
        <w:rPr>
          <w:szCs w:val="20"/>
          <w:lang w:eastAsia="x-none"/>
        </w:rPr>
        <w:t>Zamawiający uprawniony jest do wypowiedzenia umowy przed upływem okresu jej obowiązywania pod warunkiem zaistnienia następujących przesłanek:</w:t>
      </w:r>
    </w:p>
    <w:bookmarkEnd w:id="0"/>
    <w:p w14:paraId="09434804" w14:textId="77777777" w:rsidR="00934E15" w:rsidRPr="00934E15" w:rsidRDefault="00934E15" w:rsidP="00934E15">
      <w:pPr>
        <w:widowControl w:val="0"/>
        <w:numPr>
          <w:ilvl w:val="0"/>
          <w:numId w:val="24"/>
        </w:numPr>
        <w:overflowPunct w:val="0"/>
        <w:autoSpaceDE w:val="0"/>
        <w:autoSpaceDN w:val="0"/>
        <w:adjustRightInd w:val="0"/>
        <w:spacing w:line="240" w:lineRule="atLeast"/>
        <w:ind w:left="397" w:hanging="284"/>
        <w:jc w:val="both"/>
        <w:rPr>
          <w:sz w:val="24"/>
          <w:szCs w:val="20"/>
          <w:lang w:eastAsia="x-none"/>
        </w:rPr>
      </w:pPr>
      <w:r w:rsidRPr="00934E15">
        <w:rPr>
          <w:sz w:val="24"/>
          <w:szCs w:val="20"/>
          <w:lang w:eastAsia="x-none"/>
        </w:rPr>
        <w:t>złożenia nie wcześniej niż w miesiącu listopadzie 2024 r. oświadczenia o wypowiedzeniu umowy; okres wypowiedzenia będzie wynosił 1 miesiąc ze skutkiem na koniec miesiąca kalendarzowego następującego po miesiącu, w którym oświadczenie wpłynie do wykonawcy,</w:t>
      </w:r>
    </w:p>
    <w:p w14:paraId="752E7DC4" w14:textId="77777777" w:rsidR="00934E15" w:rsidRPr="00934E15" w:rsidRDefault="00934E15" w:rsidP="00934E15">
      <w:pPr>
        <w:widowControl w:val="0"/>
        <w:numPr>
          <w:ilvl w:val="0"/>
          <w:numId w:val="24"/>
        </w:numPr>
        <w:overflowPunct w:val="0"/>
        <w:autoSpaceDE w:val="0"/>
        <w:autoSpaceDN w:val="0"/>
        <w:adjustRightInd w:val="0"/>
        <w:spacing w:line="240" w:lineRule="atLeast"/>
        <w:ind w:left="397" w:hanging="284"/>
        <w:jc w:val="both"/>
        <w:rPr>
          <w:sz w:val="24"/>
          <w:szCs w:val="20"/>
          <w:lang w:eastAsia="x-none"/>
        </w:rPr>
      </w:pPr>
      <w:r w:rsidRPr="00934E15">
        <w:rPr>
          <w:sz w:val="24"/>
          <w:szCs w:val="20"/>
          <w:lang w:eastAsia="x-none"/>
        </w:rPr>
        <w:t>podpisania umowy z nowym dostawcą energii elektrycznej wybranym w wyniku przeprowadzonego postępowania centralnego na dostawę energii, w której ujęty będzie zamawiający.</w:t>
      </w:r>
    </w:p>
    <w:p w14:paraId="139BD0E0" w14:textId="77F0062D" w:rsidR="00934E15" w:rsidRDefault="00934E15" w:rsidP="00307296">
      <w:pPr>
        <w:widowControl w:val="0"/>
        <w:numPr>
          <w:ilvl w:val="0"/>
          <w:numId w:val="29"/>
        </w:numPr>
        <w:overflowPunct w:val="0"/>
        <w:autoSpaceDE w:val="0"/>
        <w:autoSpaceDN w:val="0"/>
        <w:adjustRightInd w:val="0"/>
        <w:spacing w:line="240" w:lineRule="atLeast"/>
        <w:ind w:left="284" w:hanging="284"/>
        <w:jc w:val="both"/>
        <w:rPr>
          <w:sz w:val="24"/>
          <w:szCs w:val="20"/>
          <w:lang w:eastAsia="x-none"/>
        </w:rPr>
      </w:pPr>
      <w:r w:rsidRPr="00934E15">
        <w:rPr>
          <w:sz w:val="24"/>
          <w:szCs w:val="20"/>
          <w:lang w:eastAsia="x-none"/>
        </w:rPr>
        <w:t xml:space="preserve">Do skutecznego wypowiedzenia umowy niezbędne jest spełnienie dwóch przesłanek wymienionych w pkt </w:t>
      </w:r>
      <w:r w:rsidR="00307296">
        <w:rPr>
          <w:sz w:val="24"/>
          <w:szCs w:val="20"/>
          <w:lang w:eastAsia="x-none"/>
        </w:rPr>
        <w:t>3</w:t>
      </w:r>
      <w:r w:rsidRPr="00934E15">
        <w:rPr>
          <w:sz w:val="24"/>
          <w:szCs w:val="20"/>
          <w:lang w:eastAsia="x-none"/>
        </w:rPr>
        <w:t xml:space="preserve"> ppkt 1 i 2. W przypadku złożenia przez zamawiającego oświadczenia o wypowiedzeniu umowy i braku podpisania umowy w wyniku postępowania centralnego, wypowiedzenie umowy będzie skuteczne </w:t>
      </w:r>
      <w:r w:rsidR="0045421E">
        <w:rPr>
          <w:sz w:val="24"/>
          <w:szCs w:val="20"/>
          <w:lang w:eastAsia="x-none"/>
        </w:rPr>
        <w:t>z dniem</w:t>
      </w:r>
      <w:r w:rsidRPr="00934E15">
        <w:rPr>
          <w:sz w:val="24"/>
          <w:szCs w:val="20"/>
          <w:lang w:eastAsia="x-none"/>
        </w:rPr>
        <w:t xml:space="preserve"> jej podpisania.</w:t>
      </w:r>
    </w:p>
    <w:p w14:paraId="425ED359" w14:textId="2D180ABA" w:rsidR="008838DA" w:rsidRPr="00307296" w:rsidRDefault="00934E15" w:rsidP="00307296">
      <w:pPr>
        <w:widowControl w:val="0"/>
        <w:numPr>
          <w:ilvl w:val="0"/>
          <w:numId w:val="29"/>
        </w:numPr>
        <w:overflowPunct w:val="0"/>
        <w:autoSpaceDE w:val="0"/>
        <w:autoSpaceDN w:val="0"/>
        <w:adjustRightInd w:val="0"/>
        <w:spacing w:line="240" w:lineRule="atLeast"/>
        <w:ind w:left="284" w:hanging="284"/>
        <w:jc w:val="both"/>
        <w:rPr>
          <w:sz w:val="22"/>
          <w:szCs w:val="18"/>
          <w:lang w:eastAsia="x-none"/>
        </w:rPr>
      </w:pPr>
      <w:r w:rsidRPr="00307296">
        <w:rPr>
          <w:sz w:val="24"/>
          <w:szCs w:val="24"/>
        </w:rPr>
        <w:t xml:space="preserve">Wykonawcy nie będą przysługiwały żadne roszczenia wobec zamawiającego w związku z wypowiedzeniem umowy, o którym mowa w pkt </w:t>
      </w:r>
      <w:r w:rsidR="00307296">
        <w:rPr>
          <w:sz w:val="24"/>
          <w:szCs w:val="24"/>
        </w:rPr>
        <w:t>3</w:t>
      </w:r>
      <w:r w:rsidR="008838DA" w:rsidRPr="00307296">
        <w:rPr>
          <w:sz w:val="24"/>
          <w:szCs w:val="24"/>
        </w:rPr>
        <w:t>.</w:t>
      </w:r>
    </w:p>
    <w:p w14:paraId="4ADECCAE" w14:textId="77777777" w:rsidR="00D464E5" w:rsidRPr="00307296" w:rsidRDefault="00D464E5" w:rsidP="00307296">
      <w:pPr>
        <w:widowControl w:val="0"/>
        <w:numPr>
          <w:ilvl w:val="0"/>
          <w:numId w:val="29"/>
        </w:numPr>
        <w:overflowPunct w:val="0"/>
        <w:autoSpaceDE w:val="0"/>
        <w:autoSpaceDN w:val="0"/>
        <w:adjustRightInd w:val="0"/>
        <w:spacing w:line="240" w:lineRule="atLeast"/>
        <w:ind w:left="284" w:hanging="284"/>
        <w:jc w:val="both"/>
        <w:rPr>
          <w:sz w:val="20"/>
          <w:szCs w:val="16"/>
          <w:lang w:eastAsia="x-none"/>
        </w:rPr>
      </w:pPr>
      <w:r w:rsidRPr="00307296">
        <w:rPr>
          <w:sz w:val="24"/>
          <w:szCs w:val="24"/>
        </w:rPr>
        <w:t>Wykonawca musi posiadać koncesję na obrót energią elektryczną wydaną przez Prezesa URE ważną w okresie realizacji dostaw.</w:t>
      </w:r>
    </w:p>
    <w:p w14:paraId="605F16C3" w14:textId="77777777" w:rsidR="00D464E5" w:rsidRPr="00307296" w:rsidRDefault="00D464E5" w:rsidP="00307296">
      <w:pPr>
        <w:widowControl w:val="0"/>
        <w:numPr>
          <w:ilvl w:val="0"/>
          <w:numId w:val="29"/>
        </w:numPr>
        <w:overflowPunct w:val="0"/>
        <w:autoSpaceDE w:val="0"/>
        <w:autoSpaceDN w:val="0"/>
        <w:adjustRightInd w:val="0"/>
        <w:spacing w:line="240" w:lineRule="atLeast"/>
        <w:ind w:left="284" w:hanging="284"/>
        <w:jc w:val="both"/>
        <w:rPr>
          <w:sz w:val="18"/>
          <w:szCs w:val="14"/>
          <w:lang w:eastAsia="x-none"/>
        </w:rPr>
      </w:pPr>
      <w:r w:rsidRPr="00307296">
        <w:rPr>
          <w:sz w:val="24"/>
          <w:szCs w:val="24"/>
        </w:rPr>
        <w:t xml:space="preserve">Wykonawca zobowiązuje się do złożenia w OSD, w imieniu </w:t>
      </w:r>
      <w:r w:rsidR="008838DA" w:rsidRPr="00307296">
        <w:rPr>
          <w:sz w:val="24"/>
          <w:szCs w:val="24"/>
        </w:rPr>
        <w:t>z</w:t>
      </w:r>
      <w:r w:rsidRPr="00307296">
        <w:rPr>
          <w:sz w:val="24"/>
          <w:szCs w:val="24"/>
        </w:rPr>
        <w:t>amawiającego, zgłoszenia o zawarciu umowy na sprzedaż energii elektrycznej.</w:t>
      </w:r>
    </w:p>
    <w:p w14:paraId="3AF911BA" w14:textId="77777777" w:rsidR="008838DA" w:rsidRPr="00307296" w:rsidRDefault="008838DA" w:rsidP="00307296">
      <w:pPr>
        <w:widowControl w:val="0"/>
        <w:numPr>
          <w:ilvl w:val="0"/>
          <w:numId w:val="29"/>
        </w:numPr>
        <w:overflowPunct w:val="0"/>
        <w:autoSpaceDE w:val="0"/>
        <w:autoSpaceDN w:val="0"/>
        <w:adjustRightInd w:val="0"/>
        <w:spacing w:line="240" w:lineRule="atLeast"/>
        <w:ind w:left="284" w:hanging="284"/>
        <w:jc w:val="both"/>
        <w:rPr>
          <w:sz w:val="16"/>
          <w:szCs w:val="12"/>
          <w:lang w:eastAsia="x-none"/>
        </w:rPr>
      </w:pPr>
      <w:r w:rsidRPr="00307296">
        <w:rPr>
          <w:sz w:val="24"/>
          <w:szCs w:val="24"/>
        </w:rPr>
        <w:lastRenderedPageBreak/>
        <w:t>Wskazana w SWZ ilość energii elektrycznej stanowi jedynie przybliżoną wartość. Faktyczne zużycie energii elektrycznej może być mniejsze, uzależnione od rzeczywistych potrzeb poszczególnych PPE zamawiającego, przy czym wykonawca, niezależnie od wielkości zużycia, zobowiązany będzie w każdym przypadku stosować zaoferowaną w ofercie</w:t>
      </w:r>
      <w:r w:rsidRPr="00307296">
        <w:t xml:space="preserve"> </w:t>
      </w:r>
      <w:r w:rsidRPr="00307296">
        <w:rPr>
          <w:sz w:val="24"/>
          <w:szCs w:val="24"/>
        </w:rPr>
        <w:t>jednostkową cenę energii. Zamawiający zobowiązuje się do minimalnej realizacji zamówienia na poziomie nie mniejszym niż 30% łącznej wartości zawartej umowy</w:t>
      </w:r>
      <w:r w:rsidR="009038E6" w:rsidRPr="00307296">
        <w:rPr>
          <w:sz w:val="24"/>
          <w:szCs w:val="24"/>
        </w:rPr>
        <w:t>.</w:t>
      </w:r>
    </w:p>
    <w:p w14:paraId="0029F314" w14:textId="77777777" w:rsidR="00D464E5" w:rsidRPr="00307296" w:rsidRDefault="00D464E5" w:rsidP="00307296">
      <w:pPr>
        <w:widowControl w:val="0"/>
        <w:numPr>
          <w:ilvl w:val="0"/>
          <w:numId w:val="29"/>
        </w:numPr>
        <w:overflowPunct w:val="0"/>
        <w:autoSpaceDE w:val="0"/>
        <w:autoSpaceDN w:val="0"/>
        <w:adjustRightInd w:val="0"/>
        <w:spacing w:line="240" w:lineRule="atLeast"/>
        <w:ind w:left="284" w:hanging="284"/>
        <w:jc w:val="both"/>
        <w:rPr>
          <w:sz w:val="14"/>
          <w:szCs w:val="10"/>
          <w:lang w:eastAsia="x-none"/>
        </w:rPr>
      </w:pPr>
      <w:r w:rsidRPr="00307296">
        <w:rPr>
          <w:sz w:val="24"/>
          <w:szCs w:val="24"/>
        </w:rPr>
        <w:t xml:space="preserve">Wykonawca zobowiązuje się do pełnienia funkcji podmiotu odpowiedzialnego za bilansowanie handlowe dla energii elektrycznej sprzedanej w ramach umowy. Wykonawca dokonywać będzie bilansowania handlowego energii zakupionej przez </w:t>
      </w:r>
      <w:r w:rsidR="009038E6" w:rsidRPr="00307296">
        <w:rPr>
          <w:sz w:val="24"/>
          <w:szCs w:val="24"/>
        </w:rPr>
        <w:t>z</w:t>
      </w:r>
      <w:r w:rsidRPr="00307296">
        <w:rPr>
          <w:sz w:val="24"/>
          <w:szCs w:val="24"/>
        </w:rPr>
        <w:t xml:space="preserve">amawiającego na podstawie standardowego profilu zużycia o mocy umownej określonej </w:t>
      </w:r>
      <w:r w:rsidR="009038E6" w:rsidRPr="00307296">
        <w:rPr>
          <w:bCs/>
          <w:sz w:val="24"/>
          <w:szCs w:val="24"/>
        </w:rPr>
        <w:t>w SWZ.</w:t>
      </w:r>
      <w:r w:rsidRPr="00307296">
        <w:rPr>
          <w:sz w:val="24"/>
          <w:szCs w:val="24"/>
        </w:rPr>
        <w:t xml:space="preserve"> Koszty wynikające z dokonania bilansowania uwzględnione są w cenie energii elektrycznej. Zamawiający oświadcza, że wszystkie prawa i obowiązki związane z bilansowaniem handlowym z umowy, w tym zgłaszanie grafików handlowych do OSD, przechodzą na </w:t>
      </w:r>
      <w:r w:rsidR="009038E6" w:rsidRPr="00307296">
        <w:rPr>
          <w:sz w:val="24"/>
          <w:szCs w:val="24"/>
        </w:rPr>
        <w:t>w</w:t>
      </w:r>
      <w:r w:rsidRPr="00307296">
        <w:rPr>
          <w:sz w:val="24"/>
          <w:szCs w:val="24"/>
        </w:rPr>
        <w:t>ykonawcę.</w:t>
      </w:r>
    </w:p>
    <w:p w14:paraId="645EE5F5" w14:textId="77777777" w:rsidR="00D464E5" w:rsidRPr="00307296" w:rsidRDefault="00D464E5" w:rsidP="00307296">
      <w:pPr>
        <w:widowControl w:val="0"/>
        <w:numPr>
          <w:ilvl w:val="0"/>
          <w:numId w:val="29"/>
        </w:numPr>
        <w:overflowPunct w:val="0"/>
        <w:autoSpaceDE w:val="0"/>
        <w:autoSpaceDN w:val="0"/>
        <w:adjustRightInd w:val="0"/>
        <w:spacing w:line="240" w:lineRule="atLeast"/>
        <w:ind w:left="340" w:hanging="340"/>
        <w:jc w:val="both"/>
        <w:rPr>
          <w:sz w:val="12"/>
          <w:szCs w:val="8"/>
          <w:lang w:eastAsia="x-none"/>
        </w:rPr>
      </w:pPr>
      <w:r w:rsidRPr="00307296">
        <w:rPr>
          <w:sz w:val="24"/>
          <w:szCs w:val="24"/>
          <w:lang w:eastAsia="en-US"/>
        </w:rPr>
        <w:t xml:space="preserve">Wykonawca zobowiązuje się zapewnić </w:t>
      </w:r>
      <w:r w:rsidR="009038E6" w:rsidRPr="00307296">
        <w:rPr>
          <w:sz w:val="24"/>
          <w:szCs w:val="24"/>
          <w:lang w:eastAsia="en-US"/>
        </w:rPr>
        <w:t>z</w:t>
      </w:r>
      <w:r w:rsidRPr="00307296">
        <w:rPr>
          <w:sz w:val="24"/>
          <w:szCs w:val="24"/>
          <w:lang w:eastAsia="en-US"/>
        </w:rPr>
        <w:t>amawiającemu standardy jakościowe obsługi w zakresie przedmiotu zamówienia zgodnie z obowiązującymi przepisami Prawa energetycznego oraz zgodnie z obowiązującymi rozporządzeniami w zakresie zachowania standardów jakościowych.</w:t>
      </w:r>
    </w:p>
    <w:p w14:paraId="27A8E1D7" w14:textId="3B39D77C" w:rsidR="00D464E5" w:rsidRPr="00D110AA" w:rsidRDefault="00D464E5" w:rsidP="00307296">
      <w:pPr>
        <w:widowControl w:val="0"/>
        <w:numPr>
          <w:ilvl w:val="0"/>
          <w:numId w:val="29"/>
        </w:numPr>
        <w:overflowPunct w:val="0"/>
        <w:autoSpaceDE w:val="0"/>
        <w:autoSpaceDN w:val="0"/>
        <w:adjustRightInd w:val="0"/>
        <w:spacing w:line="240" w:lineRule="atLeast"/>
        <w:ind w:left="340" w:hanging="340"/>
        <w:jc w:val="both"/>
        <w:rPr>
          <w:sz w:val="10"/>
          <w:szCs w:val="6"/>
          <w:lang w:eastAsia="x-none"/>
        </w:rPr>
      </w:pPr>
      <w:r w:rsidRPr="00307296">
        <w:rPr>
          <w:color w:val="000000"/>
          <w:sz w:val="24"/>
          <w:szCs w:val="24"/>
        </w:rPr>
        <w:t>Standardy jakości obsługi klienta zostały określone w obowiązujących przepisach wykonawczych wydanych na podstawie ustawy z dnia 10 kwietnia 1997 r. - Prawo energetyczne</w:t>
      </w:r>
      <w:r w:rsidRPr="00307296">
        <w:rPr>
          <w:color w:val="000000"/>
          <w:spacing w:val="4"/>
          <w:sz w:val="24"/>
          <w:szCs w:val="24"/>
        </w:rPr>
        <w:t xml:space="preserve">. </w:t>
      </w:r>
      <w:r w:rsidRPr="00307296">
        <w:rPr>
          <w:color w:val="000000"/>
          <w:sz w:val="24"/>
          <w:szCs w:val="24"/>
        </w:rPr>
        <w:t xml:space="preserve">W przypadku niedotrzymania jakościowych standardów obsługi Zamawiającemu przysługuje prawo bonifikaty według stawek określonych w </w:t>
      </w:r>
      <w:r w:rsidRPr="00307296">
        <w:rPr>
          <w:sz w:val="24"/>
          <w:szCs w:val="24"/>
        </w:rPr>
        <w:t xml:space="preserve">§ 44 i w </w:t>
      </w:r>
      <w:r w:rsidR="009038E6" w:rsidRPr="00307296">
        <w:rPr>
          <w:sz w:val="24"/>
          <w:szCs w:val="24"/>
        </w:rPr>
        <w:br/>
      </w:r>
      <w:r w:rsidRPr="00307296">
        <w:rPr>
          <w:sz w:val="24"/>
          <w:szCs w:val="24"/>
        </w:rPr>
        <w:t xml:space="preserve">§ 45  </w:t>
      </w:r>
      <w:r w:rsidR="009038E6" w:rsidRPr="00307296">
        <w:rPr>
          <w:sz w:val="24"/>
          <w:szCs w:val="24"/>
        </w:rPr>
        <w:t>r</w:t>
      </w:r>
      <w:r w:rsidRPr="00307296">
        <w:rPr>
          <w:sz w:val="24"/>
          <w:szCs w:val="24"/>
        </w:rPr>
        <w:t>ozporządzeni</w:t>
      </w:r>
      <w:r w:rsidR="009038E6" w:rsidRPr="00307296">
        <w:rPr>
          <w:sz w:val="24"/>
          <w:szCs w:val="24"/>
        </w:rPr>
        <w:t>a</w:t>
      </w:r>
      <w:r w:rsidRPr="00307296">
        <w:rPr>
          <w:sz w:val="24"/>
          <w:szCs w:val="24"/>
        </w:rPr>
        <w:t xml:space="preserve"> Ministra Klimatu i Środowiska z dnia 29 listopada 2022 r. w sprawie sposobu kształtowania i kalkulacji taryf oraz sposobu rozliczeń w obrocie energią elektryczną (Dz.</w:t>
      </w:r>
      <w:r w:rsidR="00D110AA">
        <w:rPr>
          <w:sz w:val="24"/>
          <w:szCs w:val="24"/>
        </w:rPr>
        <w:t xml:space="preserve"> </w:t>
      </w:r>
      <w:r w:rsidRPr="00307296">
        <w:rPr>
          <w:sz w:val="24"/>
          <w:szCs w:val="24"/>
        </w:rPr>
        <w:t>U.</w:t>
      </w:r>
      <w:r w:rsidR="00D110AA">
        <w:rPr>
          <w:sz w:val="24"/>
          <w:szCs w:val="24"/>
        </w:rPr>
        <w:t xml:space="preserve"> z</w:t>
      </w:r>
      <w:r w:rsidRPr="00307296">
        <w:rPr>
          <w:sz w:val="24"/>
          <w:szCs w:val="24"/>
        </w:rPr>
        <w:t xml:space="preserve"> 202</w:t>
      </w:r>
      <w:r w:rsidR="00D110AA">
        <w:rPr>
          <w:sz w:val="24"/>
          <w:szCs w:val="24"/>
        </w:rPr>
        <w:t>4</w:t>
      </w:r>
      <w:r w:rsidRPr="00307296">
        <w:rPr>
          <w:sz w:val="24"/>
          <w:szCs w:val="24"/>
        </w:rPr>
        <w:t xml:space="preserve"> poz. </w:t>
      </w:r>
      <w:r w:rsidR="00D110AA">
        <w:rPr>
          <w:sz w:val="24"/>
          <w:szCs w:val="24"/>
        </w:rPr>
        <w:t>904</w:t>
      </w:r>
      <w:r w:rsidRPr="00307296">
        <w:rPr>
          <w:sz w:val="24"/>
          <w:szCs w:val="24"/>
        </w:rPr>
        <w:t>)</w:t>
      </w:r>
      <w:r w:rsidR="009038E6" w:rsidRPr="00307296">
        <w:rPr>
          <w:sz w:val="24"/>
          <w:szCs w:val="24"/>
        </w:rPr>
        <w:t xml:space="preserve"> </w:t>
      </w:r>
      <w:r w:rsidRPr="00307296">
        <w:rPr>
          <w:color w:val="000000"/>
          <w:sz w:val="24"/>
          <w:szCs w:val="24"/>
        </w:rPr>
        <w:t>lub w każdym później wydanym akcie prawnym dotyczącym jakościowych standardów obsługi.</w:t>
      </w:r>
    </w:p>
    <w:p w14:paraId="14ECC44F" w14:textId="77777777" w:rsidR="00D464E5" w:rsidRPr="00D110AA" w:rsidRDefault="00D464E5" w:rsidP="00D110AA">
      <w:pPr>
        <w:widowControl w:val="0"/>
        <w:numPr>
          <w:ilvl w:val="0"/>
          <w:numId w:val="29"/>
        </w:numPr>
        <w:overflowPunct w:val="0"/>
        <w:autoSpaceDE w:val="0"/>
        <w:autoSpaceDN w:val="0"/>
        <w:adjustRightInd w:val="0"/>
        <w:spacing w:line="240" w:lineRule="atLeast"/>
        <w:ind w:left="340" w:hanging="340"/>
        <w:jc w:val="both"/>
        <w:rPr>
          <w:sz w:val="8"/>
          <w:szCs w:val="4"/>
          <w:lang w:eastAsia="x-none"/>
        </w:rPr>
      </w:pPr>
      <w:r w:rsidRPr="00D110AA">
        <w:rPr>
          <w:spacing w:val="4"/>
          <w:sz w:val="24"/>
          <w:szCs w:val="24"/>
          <w:lang w:eastAsia="en-US"/>
        </w:rPr>
        <w:t xml:space="preserve">Wykonawca zobowiązany jest do udzielania bonifikat za niedotrzymanie standardów jakościowych obsługi odbiorców w terminie 30 dni </w:t>
      </w:r>
      <w:r w:rsidR="009038E6" w:rsidRPr="00D110AA">
        <w:rPr>
          <w:spacing w:val="4"/>
          <w:sz w:val="24"/>
          <w:szCs w:val="24"/>
          <w:lang w:eastAsia="en-US"/>
        </w:rPr>
        <w:t xml:space="preserve">licząc </w:t>
      </w:r>
      <w:r w:rsidRPr="00D110AA">
        <w:rPr>
          <w:spacing w:val="4"/>
          <w:sz w:val="24"/>
          <w:szCs w:val="24"/>
          <w:lang w:eastAsia="en-US"/>
        </w:rPr>
        <w:t>od dnia, w którym zaistniała przesłanka do ich naliczenia.</w:t>
      </w:r>
    </w:p>
    <w:p w14:paraId="5A33BDF3" w14:textId="77777777" w:rsidR="00D464E5" w:rsidRPr="00D110AA" w:rsidRDefault="00D464E5" w:rsidP="00D110AA">
      <w:pPr>
        <w:widowControl w:val="0"/>
        <w:numPr>
          <w:ilvl w:val="0"/>
          <w:numId w:val="29"/>
        </w:numPr>
        <w:overflowPunct w:val="0"/>
        <w:autoSpaceDE w:val="0"/>
        <w:autoSpaceDN w:val="0"/>
        <w:adjustRightInd w:val="0"/>
        <w:spacing w:line="240" w:lineRule="atLeast"/>
        <w:ind w:left="340" w:hanging="340"/>
        <w:jc w:val="both"/>
        <w:rPr>
          <w:sz w:val="6"/>
          <w:szCs w:val="2"/>
          <w:lang w:eastAsia="x-none"/>
        </w:rPr>
      </w:pPr>
      <w:r w:rsidRPr="00D110AA">
        <w:rPr>
          <w:sz w:val="24"/>
          <w:szCs w:val="24"/>
        </w:rPr>
        <w:t>Układy pomiarowo-rozliczeniowe</w:t>
      </w:r>
      <w:r w:rsidR="000D2833" w:rsidRPr="00D110AA">
        <w:rPr>
          <w:sz w:val="24"/>
          <w:szCs w:val="24"/>
        </w:rPr>
        <w:t xml:space="preserve"> z</w:t>
      </w:r>
      <w:r w:rsidRPr="00D110AA">
        <w:rPr>
          <w:sz w:val="24"/>
          <w:szCs w:val="24"/>
        </w:rPr>
        <w:t>amawiającego są dostosowane do zasady TPA.</w:t>
      </w:r>
    </w:p>
    <w:p w14:paraId="0E0AF669" w14:textId="77777777" w:rsidR="00D464E5" w:rsidRPr="00D110AA" w:rsidRDefault="00D464E5" w:rsidP="00D110AA">
      <w:pPr>
        <w:widowControl w:val="0"/>
        <w:numPr>
          <w:ilvl w:val="0"/>
          <w:numId w:val="29"/>
        </w:numPr>
        <w:overflowPunct w:val="0"/>
        <w:autoSpaceDE w:val="0"/>
        <w:autoSpaceDN w:val="0"/>
        <w:adjustRightInd w:val="0"/>
        <w:spacing w:line="240" w:lineRule="atLeast"/>
        <w:ind w:left="340" w:hanging="340"/>
        <w:jc w:val="both"/>
        <w:rPr>
          <w:sz w:val="4"/>
          <w:szCs w:val="2"/>
          <w:lang w:eastAsia="x-none"/>
        </w:rPr>
      </w:pPr>
      <w:r w:rsidRPr="00D110AA">
        <w:rPr>
          <w:sz w:val="24"/>
          <w:szCs w:val="24"/>
        </w:rPr>
        <w:t xml:space="preserve">Wykonawca będzie zobowiązany do oświadczenia o posiadaniu zawartych generalnych umów dystrybucji z OSD, do sieci których przyłączone są PPE </w:t>
      </w:r>
      <w:r w:rsidR="000D2833" w:rsidRPr="00D110AA">
        <w:rPr>
          <w:sz w:val="24"/>
          <w:szCs w:val="24"/>
        </w:rPr>
        <w:t>z</w:t>
      </w:r>
      <w:r w:rsidRPr="00D110AA">
        <w:rPr>
          <w:sz w:val="24"/>
          <w:szCs w:val="24"/>
        </w:rPr>
        <w:t>amawiającego lub o ich zawarciu, nie później niż do dnia rozpoczęcia świadczenia usługi sprzedaży energii elektrycznej.</w:t>
      </w:r>
    </w:p>
    <w:p w14:paraId="559BD988" w14:textId="77777777" w:rsidR="00D464E5" w:rsidRPr="00D110AA" w:rsidRDefault="00D464E5" w:rsidP="00D110AA">
      <w:pPr>
        <w:widowControl w:val="0"/>
        <w:numPr>
          <w:ilvl w:val="0"/>
          <w:numId w:val="29"/>
        </w:numPr>
        <w:overflowPunct w:val="0"/>
        <w:autoSpaceDE w:val="0"/>
        <w:autoSpaceDN w:val="0"/>
        <w:adjustRightInd w:val="0"/>
        <w:spacing w:line="240" w:lineRule="atLeast"/>
        <w:ind w:left="340" w:hanging="340"/>
        <w:jc w:val="both"/>
        <w:rPr>
          <w:sz w:val="2"/>
          <w:szCs w:val="2"/>
          <w:lang w:eastAsia="x-none"/>
        </w:rPr>
      </w:pPr>
      <w:r w:rsidRPr="00D110AA">
        <w:rPr>
          <w:sz w:val="24"/>
          <w:szCs w:val="24"/>
        </w:rPr>
        <w:t xml:space="preserve">Podstawą do ustalenia warunków i wykonania </w:t>
      </w:r>
      <w:r w:rsidR="000D2833" w:rsidRPr="00D110AA">
        <w:rPr>
          <w:sz w:val="24"/>
          <w:szCs w:val="24"/>
        </w:rPr>
        <w:t>u</w:t>
      </w:r>
      <w:r w:rsidRPr="00D110AA">
        <w:rPr>
          <w:sz w:val="24"/>
          <w:szCs w:val="24"/>
        </w:rPr>
        <w:t>mowy są w szczególności wskazane poniżej regulacje wraz z późniejszymi zmianami lub regulacje je zastępujące:</w:t>
      </w:r>
    </w:p>
    <w:p w14:paraId="56F529DF" w14:textId="4D2C7EC8" w:rsidR="00D464E5" w:rsidRPr="005C7121" w:rsidRDefault="000D2833" w:rsidP="000D2833">
      <w:pPr>
        <w:pStyle w:val="Standard"/>
        <w:numPr>
          <w:ilvl w:val="0"/>
          <w:numId w:val="25"/>
        </w:numPr>
        <w:shd w:val="clear" w:color="auto" w:fill="FFFFFF"/>
        <w:tabs>
          <w:tab w:val="left" w:pos="132"/>
        </w:tabs>
        <w:spacing w:line="280" w:lineRule="atLeast"/>
        <w:ind w:left="397" w:hanging="284"/>
        <w:jc w:val="both"/>
      </w:pPr>
      <w:r>
        <w:t>u</w:t>
      </w:r>
      <w:r w:rsidR="00D464E5" w:rsidRPr="005C7121">
        <w:t>stawa z 10 kwietnia 1997 r, Prawo energetyczne (Dz. U. z 202</w:t>
      </w:r>
      <w:r w:rsidR="00D110AA">
        <w:t>4</w:t>
      </w:r>
      <w:r w:rsidR="00D464E5" w:rsidRPr="005C7121">
        <w:t xml:space="preserve"> r. poz. </w:t>
      </w:r>
      <w:r w:rsidR="00D110AA">
        <w:t>266</w:t>
      </w:r>
      <w:r w:rsidR="00D464E5" w:rsidRPr="005C7121">
        <w:t>) wraz z aktami wykonawczymi</w:t>
      </w:r>
      <w:r>
        <w:t>,</w:t>
      </w:r>
    </w:p>
    <w:p w14:paraId="16542655" w14:textId="77777777" w:rsidR="00D464E5" w:rsidRPr="00A11185" w:rsidRDefault="00D464E5" w:rsidP="000D2833">
      <w:pPr>
        <w:pStyle w:val="Standard"/>
        <w:numPr>
          <w:ilvl w:val="0"/>
          <w:numId w:val="25"/>
        </w:numPr>
        <w:shd w:val="clear" w:color="auto" w:fill="FFFFFF"/>
        <w:tabs>
          <w:tab w:val="left" w:pos="132"/>
        </w:tabs>
        <w:spacing w:line="280" w:lineRule="atLeast"/>
        <w:ind w:left="397" w:hanging="284"/>
        <w:jc w:val="both"/>
        <w:rPr>
          <w:spacing w:val="-2"/>
        </w:rPr>
      </w:pPr>
      <w:r w:rsidRPr="00A11185">
        <w:rPr>
          <w:spacing w:val="-2"/>
        </w:rPr>
        <w:t>Instrukcja Ruchu i Eksploatacji Sieci Dystrybucyjnej OSD zatwierdzona przez Prezesa URE</w:t>
      </w:r>
      <w:r w:rsidR="000D2833" w:rsidRPr="00A11185">
        <w:rPr>
          <w:spacing w:val="-2"/>
        </w:rPr>
        <w:t>,</w:t>
      </w:r>
    </w:p>
    <w:p w14:paraId="354F47F2" w14:textId="77777777" w:rsidR="00D464E5" w:rsidRPr="00A11185" w:rsidRDefault="00D464E5" w:rsidP="000D2833">
      <w:pPr>
        <w:pStyle w:val="Standard"/>
        <w:numPr>
          <w:ilvl w:val="0"/>
          <w:numId w:val="25"/>
        </w:numPr>
        <w:shd w:val="clear" w:color="auto" w:fill="FFFFFF"/>
        <w:tabs>
          <w:tab w:val="left" w:pos="132"/>
        </w:tabs>
        <w:spacing w:line="280" w:lineRule="atLeast"/>
        <w:ind w:left="397" w:hanging="284"/>
        <w:jc w:val="both"/>
        <w:rPr>
          <w:spacing w:val="-4"/>
        </w:rPr>
      </w:pPr>
      <w:r w:rsidRPr="00A11185">
        <w:rPr>
          <w:spacing w:val="-4"/>
        </w:rPr>
        <w:t>Instrukcja Ruchu i Eksploatacji Sieci Przesyłowej PSE S.A</w:t>
      </w:r>
      <w:r w:rsidR="000D2833" w:rsidRPr="00A11185">
        <w:rPr>
          <w:spacing w:val="-4"/>
        </w:rPr>
        <w:t>.</w:t>
      </w:r>
      <w:r w:rsidRPr="00A11185">
        <w:rPr>
          <w:spacing w:val="-4"/>
        </w:rPr>
        <w:t xml:space="preserve"> zatwierdzona przez Prezesa URE</w:t>
      </w:r>
      <w:r w:rsidR="000D2833" w:rsidRPr="00A11185">
        <w:rPr>
          <w:spacing w:val="-4"/>
        </w:rPr>
        <w:t>,</w:t>
      </w:r>
    </w:p>
    <w:p w14:paraId="3D87EA2D" w14:textId="47FFEF9C" w:rsidR="00D464E5" w:rsidRPr="005C7121" w:rsidRDefault="00D110AA" w:rsidP="000D2833">
      <w:pPr>
        <w:pStyle w:val="Standard"/>
        <w:numPr>
          <w:ilvl w:val="0"/>
          <w:numId w:val="25"/>
        </w:numPr>
        <w:shd w:val="clear" w:color="auto" w:fill="FFFFFF"/>
        <w:tabs>
          <w:tab w:val="left" w:pos="132"/>
        </w:tabs>
        <w:spacing w:line="280" w:lineRule="atLeast"/>
        <w:ind w:left="397" w:hanging="284"/>
        <w:jc w:val="both"/>
      </w:pPr>
      <w:r>
        <w:t>u</w:t>
      </w:r>
      <w:r w:rsidR="00D464E5" w:rsidRPr="005C7121">
        <w:t>mowa o Świadczenie Usług Dystrybucji zawarta przez POB z OSD oraz przez Wytwórcę z OSD</w:t>
      </w:r>
      <w:r w:rsidR="000D2833">
        <w:t>,</w:t>
      </w:r>
    </w:p>
    <w:p w14:paraId="222FA354" w14:textId="2539C188" w:rsidR="00D464E5" w:rsidRPr="005C7121" w:rsidRDefault="00D110AA" w:rsidP="000D2833">
      <w:pPr>
        <w:pStyle w:val="Standard"/>
        <w:numPr>
          <w:ilvl w:val="0"/>
          <w:numId w:val="25"/>
        </w:numPr>
        <w:shd w:val="clear" w:color="auto" w:fill="FFFFFF"/>
        <w:tabs>
          <w:tab w:val="left" w:pos="132"/>
        </w:tabs>
        <w:spacing w:line="280" w:lineRule="atLeast"/>
        <w:ind w:left="397" w:hanging="284"/>
        <w:jc w:val="both"/>
      </w:pPr>
      <w:r>
        <w:t>u</w:t>
      </w:r>
      <w:r w:rsidR="00D464E5" w:rsidRPr="005C7121">
        <w:t>mowa o Świadczenie Usług Przesyłania energii elektrycznej zawarta przez POB z OSP</w:t>
      </w:r>
      <w:r w:rsidR="000D2833">
        <w:t>,</w:t>
      </w:r>
    </w:p>
    <w:p w14:paraId="1899A556" w14:textId="3C6AD7FD" w:rsidR="00D464E5" w:rsidRDefault="00D110AA" w:rsidP="000D2833">
      <w:pPr>
        <w:pStyle w:val="Standard"/>
        <w:numPr>
          <w:ilvl w:val="0"/>
          <w:numId w:val="25"/>
        </w:numPr>
        <w:shd w:val="clear" w:color="auto" w:fill="FFFFFF"/>
        <w:tabs>
          <w:tab w:val="left" w:pos="132"/>
        </w:tabs>
        <w:spacing w:line="280" w:lineRule="atLeast"/>
        <w:ind w:left="397" w:hanging="284"/>
        <w:jc w:val="both"/>
      </w:pPr>
      <w:r>
        <w:t>k</w:t>
      </w:r>
      <w:r w:rsidR="00D464E5" w:rsidRPr="005C7121">
        <w:t>oncesja POB na obrót energią elektryczną wydana przez Prezesa URE.</w:t>
      </w:r>
    </w:p>
    <w:p w14:paraId="59688339" w14:textId="77777777" w:rsidR="00D464E5" w:rsidRDefault="00D464E5" w:rsidP="00D110AA">
      <w:pPr>
        <w:pStyle w:val="Standard"/>
        <w:numPr>
          <w:ilvl w:val="0"/>
          <w:numId w:val="30"/>
        </w:numPr>
        <w:shd w:val="clear" w:color="auto" w:fill="FFFFFF"/>
        <w:spacing w:line="280" w:lineRule="atLeast"/>
        <w:ind w:left="340" w:hanging="340"/>
        <w:jc w:val="both"/>
      </w:pPr>
      <w:r w:rsidRPr="00AF7426">
        <w:rPr>
          <w:spacing w:val="-6"/>
        </w:rPr>
        <w:t>Informacja</w:t>
      </w:r>
      <w:r w:rsidR="006D7498" w:rsidRPr="00AF7426">
        <w:rPr>
          <w:spacing w:val="-6"/>
        </w:rPr>
        <w:t xml:space="preserve"> </w:t>
      </w:r>
      <w:r w:rsidRPr="00AF7426">
        <w:rPr>
          <w:spacing w:val="-6"/>
        </w:rPr>
        <w:t>o</w:t>
      </w:r>
      <w:r w:rsidR="006D7498" w:rsidRPr="00AF7426">
        <w:rPr>
          <w:spacing w:val="-6"/>
        </w:rPr>
        <w:t xml:space="preserve"> </w:t>
      </w:r>
      <w:r w:rsidRPr="00AF7426">
        <w:rPr>
          <w:spacing w:val="-6"/>
        </w:rPr>
        <w:t>umowach</w:t>
      </w:r>
      <w:r w:rsidR="006D7498" w:rsidRPr="00AF7426">
        <w:rPr>
          <w:spacing w:val="-6"/>
        </w:rPr>
        <w:t xml:space="preserve"> </w:t>
      </w:r>
      <w:r w:rsidRPr="00AF7426">
        <w:rPr>
          <w:spacing w:val="-6"/>
        </w:rPr>
        <w:t>zakupu</w:t>
      </w:r>
      <w:r w:rsidR="006D7498" w:rsidRPr="00AF7426">
        <w:rPr>
          <w:spacing w:val="-6"/>
        </w:rPr>
        <w:t xml:space="preserve"> </w:t>
      </w:r>
      <w:r w:rsidRPr="00AF7426">
        <w:rPr>
          <w:spacing w:val="-6"/>
        </w:rPr>
        <w:t>energii</w:t>
      </w:r>
      <w:r w:rsidR="006D7498" w:rsidRPr="00AF7426">
        <w:rPr>
          <w:spacing w:val="-6"/>
        </w:rPr>
        <w:t xml:space="preserve"> </w:t>
      </w:r>
      <w:r w:rsidRPr="00AF7426">
        <w:rPr>
          <w:spacing w:val="-6"/>
        </w:rPr>
        <w:t>elektrycznej</w:t>
      </w:r>
      <w:r w:rsidR="006D7498" w:rsidRPr="00AF7426">
        <w:rPr>
          <w:spacing w:val="-6"/>
        </w:rPr>
        <w:t xml:space="preserve"> </w:t>
      </w:r>
      <w:r w:rsidRPr="00AF7426">
        <w:rPr>
          <w:spacing w:val="-6"/>
        </w:rPr>
        <w:t>obecnie</w:t>
      </w:r>
      <w:r w:rsidR="006D7498" w:rsidRPr="00AF7426">
        <w:rPr>
          <w:spacing w:val="-6"/>
        </w:rPr>
        <w:t xml:space="preserve"> </w:t>
      </w:r>
      <w:r w:rsidRPr="00AF7426">
        <w:rPr>
          <w:spacing w:val="-6"/>
        </w:rPr>
        <w:t>obowiązujących</w:t>
      </w:r>
      <w:r w:rsidR="006D7498" w:rsidRPr="00AF7426">
        <w:rPr>
          <w:spacing w:val="-6"/>
        </w:rPr>
        <w:t xml:space="preserve"> u</w:t>
      </w:r>
      <w:r w:rsidRPr="00AF7426">
        <w:rPr>
          <w:spacing w:val="-6"/>
        </w:rPr>
        <w:t xml:space="preserve"> </w:t>
      </w:r>
      <w:r w:rsidR="006D7498" w:rsidRPr="00AF7426">
        <w:rPr>
          <w:spacing w:val="-6"/>
        </w:rPr>
        <w:t>z</w:t>
      </w:r>
      <w:r w:rsidRPr="00AF7426">
        <w:rPr>
          <w:spacing w:val="-6"/>
        </w:rPr>
        <w:t>amawiającego</w:t>
      </w:r>
      <w:r w:rsidR="006D7498" w:rsidRPr="00AF7426">
        <w:rPr>
          <w:spacing w:val="-6"/>
        </w:rPr>
        <w:t>:</w:t>
      </w:r>
      <w:r w:rsidR="006D7498">
        <w:t xml:space="preserve"> u</w:t>
      </w:r>
      <w:r w:rsidRPr="006D7498">
        <w:t>mow</w:t>
      </w:r>
      <w:r w:rsidR="006D7498">
        <w:t>a</w:t>
      </w:r>
      <w:r w:rsidRPr="006D7498">
        <w:t xml:space="preserve"> rezerwowa</w:t>
      </w:r>
      <w:r w:rsidR="006D7498">
        <w:t>.</w:t>
      </w:r>
    </w:p>
    <w:p w14:paraId="36E122E7" w14:textId="21E3B15A" w:rsidR="009416A0" w:rsidRPr="00A11185" w:rsidRDefault="009416A0" w:rsidP="005C7121">
      <w:pPr>
        <w:pStyle w:val="Standard"/>
        <w:numPr>
          <w:ilvl w:val="0"/>
          <w:numId w:val="30"/>
        </w:numPr>
        <w:shd w:val="clear" w:color="auto" w:fill="FFFFFF"/>
        <w:spacing w:line="280" w:lineRule="atLeast"/>
        <w:ind w:left="340" w:hanging="340"/>
        <w:jc w:val="both"/>
      </w:pPr>
      <w:r w:rsidRPr="00AF7426">
        <w:t>Rozliczenia za sprzedaną energię elektryczną odbywać się będą na podstawie miesięcznych wskazań układów pomiarowo-rozliczeniowych lub zgodnie z okresem rozliczeniowym stosowanym przez Operatora Systemu Dystrybucyjnego, według stawek opłat wynikających z umowy z wykonawcą.</w:t>
      </w:r>
    </w:p>
    <w:sectPr w:rsidR="009416A0" w:rsidRPr="00A11185" w:rsidSect="00A11185">
      <w:headerReference w:type="default" r:id="rId7"/>
      <w:footerReference w:type="default" r:id="rId8"/>
      <w:footnotePr>
        <w:numFmt w:val="chicago"/>
      </w:footnotePr>
      <w:pgSz w:w="11907" w:h="16840" w:code="9"/>
      <w:pgMar w:top="1417" w:right="1417" w:bottom="1417" w:left="1417" w:header="624" w:footer="62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78607" w14:textId="77777777" w:rsidR="00397FC9" w:rsidRDefault="00397FC9">
      <w:r>
        <w:separator/>
      </w:r>
    </w:p>
  </w:endnote>
  <w:endnote w:type="continuationSeparator" w:id="0">
    <w:p w14:paraId="0CC8B936" w14:textId="77777777" w:rsidR="00397FC9" w:rsidRDefault="0039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DFBD8" w14:textId="77777777" w:rsidR="00546FA9" w:rsidRPr="00AF7426" w:rsidRDefault="00F66A4D" w:rsidP="00590C82">
    <w:pPr>
      <w:pStyle w:val="Stopka"/>
      <w:jc w:val="right"/>
      <w:rPr>
        <w:sz w:val="20"/>
        <w:szCs w:val="20"/>
      </w:rPr>
    </w:pPr>
    <w:r w:rsidRPr="00AF7426">
      <w:rPr>
        <w:sz w:val="20"/>
        <w:szCs w:val="20"/>
      </w:rPr>
      <w:fldChar w:fldCharType="begin"/>
    </w:r>
    <w:r w:rsidRPr="00AF7426">
      <w:rPr>
        <w:sz w:val="20"/>
        <w:szCs w:val="20"/>
      </w:rPr>
      <w:instrText>PAGE   \* MERGEFORMAT</w:instrText>
    </w:r>
    <w:r w:rsidRPr="00AF7426">
      <w:rPr>
        <w:sz w:val="20"/>
        <w:szCs w:val="20"/>
      </w:rPr>
      <w:fldChar w:fldCharType="separate"/>
    </w:r>
    <w:r w:rsidR="00BB5206" w:rsidRPr="00AF7426">
      <w:rPr>
        <w:noProof/>
        <w:sz w:val="20"/>
        <w:szCs w:val="20"/>
      </w:rPr>
      <w:t>1</w:t>
    </w:r>
    <w:r w:rsidRPr="00AF7426">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4AC51" w14:textId="77777777" w:rsidR="00397FC9" w:rsidRDefault="00397FC9">
      <w:r>
        <w:separator/>
      </w:r>
    </w:p>
  </w:footnote>
  <w:footnote w:type="continuationSeparator" w:id="0">
    <w:p w14:paraId="0330187D" w14:textId="77777777" w:rsidR="00397FC9" w:rsidRDefault="00397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A247F" w14:textId="77777777" w:rsidR="00D97427" w:rsidRPr="0073136C" w:rsidRDefault="0073136C" w:rsidP="0073136C">
    <w:pPr>
      <w:pStyle w:val="Nagwek"/>
      <w:tabs>
        <w:tab w:val="clear" w:pos="4536"/>
        <w:tab w:val="clear" w:pos="9072"/>
      </w:tabs>
      <w:rPr>
        <w:b/>
        <w:sz w:val="20"/>
        <w:lang w:val="pl-PL"/>
      </w:rPr>
    </w:pPr>
    <w:bookmarkStart w:id="1" w:name="_Hlk99698569"/>
    <w:r w:rsidRPr="0073136C">
      <w:rPr>
        <w:sz w:val="20"/>
        <w:lang w:val="pl-PL"/>
      </w:rPr>
      <w:t>SA.270.</w:t>
    </w:r>
    <w:r w:rsidR="00C235D8">
      <w:rPr>
        <w:sz w:val="20"/>
        <w:lang w:val="pl-PL"/>
      </w:rPr>
      <w:t>5</w:t>
    </w:r>
    <w:r w:rsidRPr="0073136C">
      <w:rPr>
        <w:sz w:val="20"/>
        <w:lang w:val="pl-PL"/>
      </w:rPr>
      <w:t>.202</w:t>
    </w:r>
    <w:bookmarkEnd w:id="1"/>
    <w:r w:rsidR="00C235D8">
      <w:rPr>
        <w:sz w:val="20"/>
        <w:lang w:val="pl-PL"/>
      </w:rPr>
      <w:t>4</w:t>
    </w:r>
    <w:r w:rsidR="00A50B3E">
      <w:rPr>
        <w:sz w:val="20"/>
      </w:rPr>
      <w:t xml:space="preserve">                   </w:t>
    </w:r>
    <w:r w:rsidR="00A50B3E">
      <w:rPr>
        <w:sz w:val="20"/>
      </w:rPr>
      <w:tab/>
      <w:t xml:space="preserve">                                                                        </w:t>
    </w:r>
    <w:r>
      <w:rPr>
        <w:sz w:val="20"/>
        <w:lang w:val="pl-PL"/>
      </w:rPr>
      <w:t xml:space="preserve">               </w:t>
    </w:r>
    <w:r w:rsidR="00A50B3E">
      <w:rPr>
        <w:sz w:val="20"/>
        <w:szCs w:val="20"/>
      </w:rPr>
      <w:t>Załącznik nr</w:t>
    </w:r>
    <w:r>
      <w:rPr>
        <w:sz w:val="20"/>
        <w:szCs w:val="20"/>
        <w:lang w:val="pl-PL"/>
      </w:rPr>
      <w:t xml:space="preserve"> </w:t>
    </w:r>
    <w:r w:rsidR="003C5C31">
      <w:rPr>
        <w:sz w:val="20"/>
        <w:szCs w:val="20"/>
        <w:lang w:val="pl-PL"/>
      </w:rPr>
      <w:t>3</w:t>
    </w:r>
    <w:r w:rsidR="00A50B3E" w:rsidRPr="008325CC">
      <w:rPr>
        <w:sz w:val="20"/>
        <w:szCs w:val="20"/>
      </w:rPr>
      <w:t xml:space="preserve"> do </w:t>
    </w:r>
    <w:r w:rsidR="00A50B3E">
      <w:rPr>
        <w:sz w:val="20"/>
        <w:szCs w:val="20"/>
      </w:rPr>
      <w:t>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44AF7"/>
    <w:multiLevelType w:val="hybridMultilevel"/>
    <w:tmpl w:val="61603F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985A41"/>
    <w:multiLevelType w:val="hybridMultilevel"/>
    <w:tmpl w:val="7D721D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C207C9"/>
    <w:multiLevelType w:val="hybridMultilevel"/>
    <w:tmpl w:val="90B60D36"/>
    <w:lvl w:ilvl="0" w:tplc="9C0E7518">
      <w:numFmt w:val="bullet"/>
      <w:lvlText w:val="-"/>
      <w:lvlJc w:val="left"/>
      <w:pPr>
        <w:tabs>
          <w:tab w:val="num" w:pos="1065"/>
        </w:tabs>
        <w:ind w:left="1065" w:hanging="705"/>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C22268"/>
    <w:multiLevelType w:val="hybridMultilevel"/>
    <w:tmpl w:val="6958B6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B46367"/>
    <w:multiLevelType w:val="hybridMultilevel"/>
    <w:tmpl w:val="2D846C46"/>
    <w:lvl w:ilvl="0" w:tplc="0415000F">
      <w:start w:val="1"/>
      <w:numFmt w:val="decimal"/>
      <w:lvlText w:val="%1."/>
      <w:lvlJc w:val="left"/>
      <w:pPr>
        <w:ind w:left="811" w:hanging="360"/>
      </w:pPr>
    </w:lvl>
    <w:lvl w:ilvl="1" w:tplc="04150011">
      <w:start w:val="1"/>
      <w:numFmt w:val="decimal"/>
      <w:lvlText w:val="%2)"/>
      <w:lvlJc w:val="left"/>
      <w:pPr>
        <w:tabs>
          <w:tab w:val="num" w:pos="1531"/>
        </w:tabs>
        <w:ind w:left="1531" w:hanging="360"/>
      </w:pPr>
      <w:rPr>
        <w:rFonts w:hint="default"/>
      </w:rPr>
    </w:lvl>
    <w:lvl w:ilvl="2" w:tplc="0415001B" w:tentative="1">
      <w:start w:val="1"/>
      <w:numFmt w:val="lowerRoman"/>
      <w:lvlText w:val="%3."/>
      <w:lvlJc w:val="right"/>
      <w:pPr>
        <w:ind w:left="2251" w:hanging="180"/>
      </w:pPr>
    </w:lvl>
    <w:lvl w:ilvl="3" w:tplc="0415000F" w:tentative="1">
      <w:start w:val="1"/>
      <w:numFmt w:val="decimal"/>
      <w:lvlText w:val="%4."/>
      <w:lvlJc w:val="left"/>
      <w:pPr>
        <w:ind w:left="2971" w:hanging="360"/>
      </w:pPr>
    </w:lvl>
    <w:lvl w:ilvl="4" w:tplc="04150019" w:tentative="1">
      <w:start w:val="1"/>
      <w:numFmt w:val="lowerLetter"/>
      <w:lvlText w:val="%5."/>
      <w:lvlJc w:val="left"/>
      <w:pPr>
        <w:ind w:left="3691" w:hanging="360"/>
      </w:pPr>
    </w:lvl>
    <w:lvl w:ilvl="5" w:tplc="0415001B" w:tentative="1">
      <w:start w:val="1"/>
      <w:numFmt w:val="lowerRoman"/>
      <w:lvlText w:val="%6."/>
      <w:lvlJc w:val="right"/>
      <w:pPr>
        <w:ind w:left="4411" w:hanging="180"/>
      </w:pPr>
    </w:lvl>
    <w:lvl w:ilvl="6" w:tplc="0415000F" w:tentative="1">
      <w:start w:val="1"/>
      <w:numFmt w:val="decimal"/>
      <w:lvlText w:val="%7."/>
      <w:lvlJc w:val="left"/>
      <w:pPr>
        <w:ind w:left="5131" w:hanging="360"/>
      </w:pPr>
    </w:lvl>
    <w:lvl w:ilvl="7" w:tplc="04150019" w:tentative="1">
      <w:start w:val="1"/>
      <w:numFmt w:val="lowerLetter"/>
      <w:lvlText w:val="%8."/>
      <w:lvlJc w:val="left"/>
      <w:pPr>
        <w:ind w:left="5851" w:hanging="360"/>
      </w:pPr>
    </w:lvl>
    <w:lvl w:ilvl="8" w:tplc="0415001B" w:tentative="1">
      <w:start w:val="1"/>
      <w:numFmt w:val="lowerRoman"/>
      <w:lvlText w:val="%9."/>
      <w:lvlJc w:val="right"/>
      <w:pPr>
        <w:ind w:left="6571" w:hanging="180"/>
      </w:pPr>
    </w:lvl>
  </w:abstractNum>
  <w:abstractNum w:abstractNumId="5" w15:restartNumberingAfterBreak="0">
    <w:nsid w:val="233D13C8"/>
    <w:multiLevelType w:val="hybridMultilevel"/>
    <w:tmpl w:val="734825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C277CCF"/>
    <w:multiLevelType w:val="hybridMultilevel"/>
    <w:tmpl w:val="AC70C6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164EDB"/>
    <w:multiLevelType w:val="hybridMultilevel"/>
    <w:tmpl w:val="B6B6D5B0"/>
    <w:lvl w:ilvl="0" w:tplc="A0C427D6">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3655C33"/>
    <w:multiLevelType w:val="hybridMultilevel"/>
    <w:tmpl w:val="63648F90"/>
    <w:lvl w:ilvl="0" w:tplc="200E2EE0">
      <w:start w:val="4"/>
      <w:numFmt w:val="decimal"/>
      <w:lvlText w:val="%1."/>
      <w:lvlJc w:val="left"/>
      <w:pPr>
        <w:ind w:left="720" w:hanging="360"/>
      </w:pPr>
      <w:rPr>
        <w:rFonts w:hint="default"/>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5D85A92"/>
    <w:multiLevelType w:val="hybridMultilevel"/>
    <w:tmpl w:val="7FA0C262"/>
    <w:lvl w:ilvl="0" w:tplc="04150011">
      <w:start w:val="1"/>
      <w:numFmt w:val="decimal"/>
      <w:lvlText w:val="%1)"/>
      <w:lvlJc w:val="left"/>
      <w:pPr>
        <w:ind w:left="720" w:hanging="360"/>
      </w:pPr>
      <w:rPr>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725FEC"/>
    <w:multiLevelType w:val="hybridMultilevel"/>
    <w:tmpl w:val="E85CD746"/>
    <w:lvl w:ilvl="0" w:tplc="FFFFFFFF">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3AF63587"/>
    <w:multiLevelType w:val="hybridMultilevel"/>
    <w:tmpl w:val="32DA2512"/>
    <w:lvl w:ilvl="0" w:tplc="306AD6F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9AB5F18"/>
    <w:multiLevelType w:val="hybridMultilevel"/>
    <w:tmpl w:val="D6FCF81A"/>
    <w:lvl w:ilvl="0" w:tplc="A89E671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A816972"/>
    <w:multiLevelType w:val="hybridMultilevel"/>
    <w:tmpl w:val="69BCD6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B8152C6"/>
    <w:multiLevelType w:val="hybridMultilevel"/>
    <w:tmpl w:val="896C82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D41699D"/>
    <w:multiLevelType w:val="hybridMultilevel"/>
    <w:tmpl w:val="209A15F8"/>
    <w:lvl w:ilvl="0" w:tplc="22B00F00">
      <w:start w:val="1"/>
      <w:numFmt w:val="decimal"/>
      <w:lvlText w:val="%1)"/>
      <w:lvlJc w:val="left"/>
      <w:pPr>
        <w:ind w:left="720" w:hanging="360"/>
      </w:pPr>
      <w:rPr>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EB25265"/>
    <w:multiLevelType w:val="hybridMultilevel"/>
    <w:tmpl w:val="7EEEDCBC"/>
    <w:lvl w:ilvl="0" w:tplc="A75C0F06">
      <w:start w:val="1"/>
      <w:numFmt w:val="decimal"/>
      <w:lvlText w:val="%1."/>
      <w:lvlJc w:val="left"/>
      <w:pPr>
        <w:ind w:left="1004" w:hanging="360"/>
      </w:pPr>
      <w:rPr>
        <w:rFonts w:hint="default"/>
        <w:i w:val="0"/>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52C63431"/>
    <w:multiLevelType w:val="hybridMultilevel"/>
    <w:tmpl w:val="E1703B24"/>
    <w:lvl w:ilvl="0" w:tplc="C6845532">
      <w:start w:val="1"/>
      <w:numFmt w:val="decimal"/>
      <w:lvlText w:val="%1)"/>
      <w:lvlJc w:val="left"/>
      <w:pPr>
        <w:ind w:left="720" w:hanging="360"/>
      </w:pPr>
      <w:rPr>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2D611DA"/>
    <w:multiLevelType w:val="hybridMultilevel"/>
    <w:tmpl w:val="8044472A"/>
    <w:lvl w:ilvl="0" w:tplc="0415000F">
      <w:start w:val="1"/>
      <w:numFmt w:val="decimal"/>
      <w:lvlText w:val="%1."/>
      <w:lvlJc w:val="left"/>
      <w:pPr>
        <w:tabs>
          <w:tab w:val="num" w:pos="4396"/>
        </w:tabs>
        <w:ind w:left="567" w:hanging="283"/>
      </w:pPr>
      <w:rPr>
        <w:rFonts w:hint="default"/>
        <w:b w:val="0"/>
        <w:i w:val="0"/>
      </w:rPr>
    </w:lvl>
    <w:lvl w:ilvl="1" w:tplc="04150011">
      <w:start w:val="1"/>
      <w:numFmt w:val="decimal"/>
      <w:lvlText w:val="%2)"/>
      <w:lvlJc w:val="left"/>
      <w:pPr>
        <w:tabs>
          <w:tab w:val="num" w:pos="1440"/>
        </w:tabs>
        <w:ind w:left="1440" w:hanging="360"/>
      </w:pPr>
      <w:rPr>
        <w:rFonts w:hint="default"/>
        <w:b w:val="0"/>
        <w:i w:val="0"/>
      </w:rPr>
    </w:lvl>
    <w:lvl w:ilvl="2" w:tplc="B74437B2">
      <w:start w:val="1"/>
      <w:numFmt w:val="bullet"/>
      <w:lvlText w:val=""/>
      <w:lvlJc w:val="left"/>
      <w:pPr>
        <w:tabs>
          <w:tab w:val="num" w:pos="2416"/>
        </w:tabs>
        <w:ind w:left="2416" w:hanging="436"/>
      </w:pPr>
      <w:rPr>
        <w:rFonts w:ascii="Symbol" w:hAnsi="Symbol" w:hint="default"/>
        <w:b w:val="0"/>
        <w:i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4352F71"/>
    <w:multiLevelType w:val="hybridMultilevel"/>
    <w:tmpl w:val="815E7DE2"/>
    <w:lvl w:ilvl="0" w:tplc="D724359E">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C125651"/>
    <w:multiLevelType w:val="hybridMultilevel"/>
    <w:tmpl w:val="F88246C6"/>
    <w:lvl w:ilvl="0" w:tplc="04150001">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CE5F8D"/>
    <w:multiLevelType w:val="hybridMultilevel"/>
    <w:tmpl w:val="4292383E"/>
    <w:lvl w:ilvl="0" w:tplc="EC6C72B8">
      <w:start w:val="1"/>
      <w:numFmt w:val="decimal"/>
      <w:lvlText w:val="%1."/>
      <w:lvlJc w:val="left"/>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EA8100F"/>
    <w:multiLevelType w:val="multilevel"/>
    <w:tmpl w:val="893EB72E"/>
    <w:lvl w:ilvl="0">
      <w:start w:val="1"/>
      <w:numFmt w:val="lowerLetter"/>
      <w:lvlText w:val="%1)"/>
      <w:lvlJc w:val="left"/>
      <w:pPr>
        <w:ind w:left="720" w:hanging="360"/>
      </w:pPr>
      <w:rPr>
        <w:b w:val="0"/>
        <w:i w:val="0"/>
        <w:color w:val="000000"/>
        <w:sz w:val="22"/>
        <w:szCs w:val="22"/>
      </w:rPr>
    </w:lvl>
    <w:lvl w:ilvl="1">
      <w:start w:val="1"/>
      <w:numFmt w:val="upperRoman"/>
      <w:lvlText w:val="%2."/>
      <w:lvlJc w:val="left"/>
      <w:pPr>
        <w:ind w:left="1800" w:hanging="72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3" w15:restartNumberingAfterBreak="0">
    <w:nsid w:val="64A67C5A"/>
    <w:multiLevelType w:val="multilevel"/>
    <w:tmpl w:val="288E2748"/>
    <w:lvl w:ilvl="0">
      <w:start w:val="1"/>
      <w:numFmt w:val="decimal"/>
      <w:lvlText w:val="%1)"/>
      <w:lvlJc w:val="left"/>
      <w:pPr>
        <w:ind w:left="720" w:hanging="360"/>
      </w:pPr>
      <w:rPr>
        <w:b w:val="0"/>
        <w:i w:val="0"/>
        <w:color w:val="000000"/>
        <w:sz w:val="24"/>
        <w:szCs w:val="24"/>
      </w:rPr>
    </w:lvl>
    <w:lvl w:ilvl="1">
      <w:start w:val="1"/>
      <w:numFmt w:val="upperRoman"/>
      <w:lvlText w:val="%2."/>
      <w:lvlJc w:val="left"/>
      <w:pPr>
        <w:ind w:left="1800" w:hanging="72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4" w15:restartNumberingAfterBreak="0">
    <w:nsid w:val="6A825404"/>
    <w:multiLevelType w:val="multilevel"/>
    <w:tmpl w:val="DE4A36BC"/>
    <w:styleLink w:val="WWNum7"/>
    <w:lvl w:ilvl="0">
      <w:start w:val="1"/>
      <w:numFmt w:val="decimal"/>
      <w:lvlText w:val="%1."/>
      <w:lvlJc w:val="left"/>
      <w:pPr>
        <w:ind w:left="720" w:hanging="360"/>
      </w:pPr>
      <w:rPr>
        <w:rFonts w:cs="Calibri"/>
        <w:b w:val="0"/>
        <w:i w:val="0"/>
        <w:color w:val="000000"/>
        <w:sz w:val="22"/>
        <w:szCs w:val="22"/>
      </w:rPr>
    </w:lvl>
    <w:lvl w:ilvl="1">
      <w:start w:val="1"/>
      <w:numFmt w:val="upperRoman"/>
      <w:lvlText w:val="%2."/>
      <w:lvlJc w:val="left"/>
      <w:pPr>
        <w:ind w:left="1800" w:hanging="72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5" w15:restartNumberingAfterBreak="0">
    <w:nsid w:val="6BB72341"/>
    <w:multiLevelType w:val="hybridMultilevel"/>
    <w:tmpl w:val="7FA0C262"/>
    <w:lvl w:ilvl="0" w:tplc="04150011">
      <w:start w:val="1"/>
      <w:numFmt w:val="decimal"/>
      <w:lvlText w:val="%1)"/>
      <w:lvlJc w:val="left"/>
      <w:pPr>
        <w:ind w:left="720" w:hanging="360"/>
      </w:pPr>
      <w:rPr>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C26414A"/>
    <w:multiLevelType w:val="hybridMultilevel"/>
    <w:tmpl w:val="8AAC4D88"/>
    <w:lvl w:ilvl="0" w:tplc="FFFFFFFF">
      <w:start w:val="2"/>
      <w:numFmt w:val="decimal"/>
      <w:lvlText w:val="%1."/>
      <w:lvlJc w:val="left"/>
      <w:pPr>
        <w:tabs>
          <w:tab w:val="num" w:pos="0"/>
        </w:tabs>
        <w:ind w:left="283" w:hanging="283"/>
      </w:pPr>
      <w:rPr>
        <w:b/>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15:restartNumberingAfterBreak="0">
    <w:nsid w:val="73B81C26"/>
    <w:multiLevelType w:val="hybridMultilevel"/>
    <w:tmpl w:val="261C743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76684AE1"/>
    <w:multiLevelType w:val="hybridMultilevel"/>
    <w:tmpl w:val="54E40B16"/>
    <w:lvl w:ilvl="0" w:tplc="C7A23294">
      <w:start w:val="1"/>
      <w:numFmt w:val="decimal"/>
      <w:lvlText w:val="%1."/>
      <w:lvlJc w:val="left"/>
      <w:pPr>
        <w:ind w:left="720" w:hanging="360"/>
      </w:pPr>
      <w:rPr>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04248276">
    <w:abstractNumId w:val="10"/>
  </w:num>
  <w:num w:numId="2" w16cid:durableId="249654592">
    <w:abstractNumId w:val="2"/>
  </w:num>
  <w:num w:numId="3" w16cid:durableId="1945575953">
    <w:abstractNumId w:val="20"/>
  </w:num>
  <w:num w:numId="4" w16cid:durableId="206989019">
    <w:abstractNumId w:val="26"/>
  </w:num>
  <w:num w:numId="5" w16cid:durableId="757024248">
    <w:abstractNumId w:val="4"/>
  </w:num>
  <w:num w:numId="6" w16cid:durableId="268395423">
    <w:abstractNumId w:val="3"/>
  </w:num>
  <w:num w:numId="7" w16cid:durableId="674261835">
    <w:abstractNumId w:val="5"/>
  </w:num>
  <w:num w:numId="8" w16cid:durableId="2037384424">
    <w:abstractNumId w:val="9"/>
  </w:num>
  <w:num w:numId="9" w16cid:durableId="1445227144">
    <w:abstractNumId w:val="12"/>
  </w:num>
  <w:num w:numId="10" w16cid:durableId="1019506269">
    <w:abstractNumId w:val="15"/>
  </w:num>
  <w:num w:numId="11" w16cid:durableId="790779179">
    <w:abstractNumId w:val="28"/>
  </w:num>
  <w:num w:numId="12" w16cid:durableId="305358003">
    <w:abstractNumId w:val="21"/>
  </w:num>
  <w:num w:numId="13" w16cid:durableId="1903564297">
    <w:abstractNumId w:val="13"/>
  </w:num>
  <w:num w:numId="14" w16cid:durableId="301354488">
    <w:abstractNumId w:val="17"/>
  </w:num>
  <w:num w:numId="15" w16cid:durableId="1831752899">
    <w:abstractNumId w:val="16"/>
  </w:num>
  <w:num w:numId="16" w16cid:durableId="2088333678">
    <w:abstractNumId w:val="25"/>
  </w:num>
  <w:num w:numId="17" w16cid:durableId="1471703055">
    <w:abstractNumId w:val="27"/>
  </w:num>
  <w:num w:numId="18" w16cid:durableId="1358118125">
    <w:abstractNumId w:val="24"/>
  </w:num>
  <w:num w:numId="19" w16cid:durableId="387650537">
    <w:abstractNumId w:val="24"/>
    <w:lvlOverride w:ilvl="0">
      <w:startOverride w:val="1"/>
    </w:lvlOverride>
  </w:num>
  <w:num w:numId="20" w16cid:durableId="352077831">
    <w:abstractNumId w:val="22"/>
  </w:num>
  <w:num w:numId="21" w16cid:durableId="1745957708">
    <w:abstractNumId w:val="18"/>
  </w:num>
  <w:num w:numId="22" w16cid:durableId="458305968">
    <w:abstractNumId w:val="11"/>
  </w:num>
  <w:num w:numId="23" w16cid:durableId="1973905658">
    <w:abstractNumId w:val="0"/>
  </w:num>
  <w:num w:numId="24" w16cid:durableId="288049151">
    <w:abstractNumId w:val="14"/>
  </w:num>
  <w:num w:numId="25" w16cid:durableId="1304120345">
    <w:abstractNumId w:val="23"/>
  </w:num>
  <w:num w:numId="26" w16cid:durableId="308749480">
    <w:abstractNumId w:val="1"/>
  </w:num>
  <w:num w:numId="27" w16cid:durableId="2095972582">
    <w:abstractNumId w:val="7"/>
  </w:num>
  <w:num w:numId="28" w16cid:durableId="579411003">
    <w:abstractNumId w:val="6"/>
  </w:num>
  <w:num w:numId="29" w16cid:durableId="837306123">
    <w:abstractNumId w:val="8"/>
  </w:num>
  <w:num w:numId="30" w16cid:durableId="6889444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1EA"/>
    <w:rsid w:val="00003354"/>
    <w:rsid w:val="00003A5A"/>
    <w:rsid w:val="000045B8"/>
    <w:rsid w:val="0002209E"/>
    <w:rsid w:val="00051081"/>
    <w:rsid w:val="00051C18"/>
    <w:rsid w:val="00054DF1"/>
    <w:rsid w:val="000606BF"/>
    <w:rsid w:val="0006108A"/>
    <w:rsid w:val="000655B8"/>
    <w:rsid w:val="00075194"/>
    <w:rsid w:val="000817D3"/>
    <w:rsid w:val="00086D58"/>
    <w:rsid w:val="00091446"/>
    <w:rsid w:val="00091963"/>
    <w:rsid w:val="000A483C"/>
    <w:rsid w:val="000A62D0"/>
    <w:rsid w:val="000A7757"/>
    <w:rsid w:val="000C5593"/>
    <w:rsid w:val="000D1298"/>
    <w:rsid w:val="000D2833"/>
    <w:rsid w:val="000D5CBD"/>
    <w:rsid w:val="000F312E"/>
    <w:rsid w:val="000F3BBF"/>
    <w:rsid w:val="000F51B0"/>
    <w:rsid w:val="00100B3F"/>
    <w:rsid w:val="00102F6E"/>
    <w:rsid w:val="00103F48"/>
    <w:rsid w:val="00105D0A"/>
    <w:rsid w:val="00113C25"/>
    <w:rsid w:val="00115BCF"/>
    <w:rsid w:val="00120431"/>
    <w:rsid w:val="00142264"/>
    <w:rsid w:val="00145A2E"/>
    <w:rsid w:val="00152B9B"/>
    <w:rsid w:val="00153ED4"/>
    <w:rsid w:val="00163D78"/>
    <w:rsid w:val="00167EB8"/>
    <w:rsid w:val="00173B2B"/>
    <w:rsid w:val="001762CC"/>
    <w:rsid w:val="00184D41"/>
    <w:rsid w:val="00194056"/>
    <w:rsid w:val="001949AA"/>
    <w:rsid w:val="00195C37"/>
    <w:rsid w:val="001A06E3"/>
    <w:rsid w:val="001A68D5"/>
    <w:rsid w:val="001B5923"/>
    <w:rsid w:val="001D64F6"/>
    <w:rsid w:val="001E3294"/>
    <w:rsid w:val="001E7117"/>
    <w:rsid w:val="001F001A"/>
    <w:rsid w:val="001F25A3"/>
    <w:rsid w:val="001F41B0"/>
    <w:rsid w:val="001F74FB"/>
    <w:rsid w:val="00234416"/>
    <w:rsid w:val="0023495A"/>
    <w:rsid w:val="0023671A"/>
    <w:rsid w:val="0023672B"/>
    <w:rsid w:val="002452A0"/>
    <w:rsid w:val="00247F98"/>
    <w:rsid w:val="0026633E"/>
    <w:rsid w:val="00272820"/>
    <w:rsid w:val="00277728"/>
    <w:rsid w:val="0028779C"/>
    <w:rsid w:val="0029010F"/>
    <w:rsid w:val="00293A51"/>
    <w:rsid w:val="00293E72"/>
    <w:rsid w:val="0029726D"/>
    <w:rsid w:val="002B7470"/>
    <w:rsid w:val="002C3F01"/>
    <w:rsid w:val="002D015E"/>
    <w:rsid w:val="002D025F"/>
    <w:rsid w:val="002D1FE7"/>
    <w:rsid w:val="002E39A8"/>
    <w:rsid w:val="002F0300"/>
    <w:rsid w:val="002F0C01"/>
    <w:rsid w:val="002F2377"/>
    <w:rsid w:val="002F3024"/>
    <w:rsid w:val="003041C4"/>
    <w:rsid w:val="0030512B"/>
    <w:rsid w:val="00307296"/>
    <w:rsid w:val="00310C5E"/>
    <w:rsid w:val="00316494"/>
    <w:rsid w:val="00323321"/>
    <w:rsid w:val="003348C8"/>
    <w:rsid w:val="00353011"/>
    <w:rsid w:val="00356CC0"/>
    <w:rsid w:val="003578B0"/>
    <w:rsid w:val="00357ABE"/>
    <w:rsid w:val="00362668"/>
    <w:rsid w:val="00365AAF"/>
    <w:rsid w:val="00371D55"/>
    <w:rsid w:val="00371E5B"/>
    <w:rsid w:val="0037654B"/>
    <w:rsid w:val="00391DA8"/>
    <w:rsid w:val="00393036"/>
    <w:rsid w:val="00397FC9"/>
    <w:rsid w:val="003A1DBF"/>
    <w:rsid w:val="003A417E"/>
    <w:rsid w:val="003C5AD5"/>
    <w:rsid w:val="003C5C31"/>
    <w:rsid w:val="003C79C8"/>
    <w:rsid w:val="003D356A"/>
    <w:rsid w:val="003E08C3"/>
    <w:rsid w:val="003E2A3C"/>
    <w:rsid w:val="003E6848"/>
    <w:rsid w:val="00401C6C"/>
    <w:rsid w:val="00403BE3"/>
    <w:rsid w:val="004052B0"/>
    <w:rsid w:val="0042489D"/>
    <w:rsid w:val="004349D9"/>
    <w:rsid w:val="0043558B"/>
    <w:rsid w:val="0044326F"/>
    <w:rsid w:val="00447228"/>
    <w:rsid w:val="0045421E"/>
    <w:rsid w:val="00457983"/>
    <w:rsid w:val="004761DC"/>
    <w:rsid w:val="004810EE"/>
    <w:rsid w:val="0049051D"/>
    <w:rsid w:val="00496C0B"/>
    <w:rsid w:val="004B7791"/>
    <w:rsid w:val="004C5BDE"/>
    <w:rsid w:val="004C6048"/>
    <w:rsid w:val="004D42F7"/>
    <w:rsid w:val="004E0352"/>
    <w:rsid w:val="004E052A"/>
    <w:rsid w:val="004F7DB3"/>
    <w:rsid w:val="00502390"/>
    <w:rsid w:val="00504E73"/>
    <w:rsid w:val="00507CF5"/>
    <w:rsid w:val="005162D2"/>
    <w:rsid w:val="00524487"/>
    <w:rsid w:val="005304C8"/>
    <w:rsid w:val="00530894"/>
    <w:rsid w:val="00546FA9"/>
    <w:rsid w:val="005500E5"/>
    <w:rsid w:val="00581121"/>
    <w:rsid w:val="00590485"/>
    <w:rsid w:val="00590C82"/>
    <w:rsid w:val="005933AA"/>
    <w:rsid w:val="00593A45"/>
    <w:rsid w:val="005A30F6"/>
    <w:rsid w:val="005A4662"/>
    <w:rsid w:val="005A5CDA"/>
    <w:rsid w:val="005B63FC"/>
    <w:rsid w:val="005C11A6"/>
    <w:rsid w:val="005C498B"/>
    <w:rsid w:val="005C7121"/>
    <w:rsid w:val="005D0998"/>
    <w:rsid w:val="005D129D"/>
    <w:rsid w:val="005D52DD"/>
    <w:rsid w:val="005F466D"/>
    <w:rsid w:val="0060215A"/>
    <w:rsid w:val="00605D0A"/>
    <w:rsid w:val="00606335"/>
    <w:rsid w:val="00606B50"/>
    <w:rsid w:val="00613B1A"/>
    <w:rsid w:val="00637815"/>
    <w:rsid w:val="0064030A"/>
    <w:rsid w:val="006424E1"/>
    <w:rsid w:val="00657F8A"/>
    <w:rsid w:val="00662D5C"/>
    <w:rsid w:val="00665DD9"/>
    <w:rsid w:val="00670B53"/>
    <w:rsid w:val="0067192E"/>
    <w:rsid w:val="00675FA6"/>
    <w:rsid w:val="00683795"/>
    <w:rsid w:val="0068407D"/>
    <w:rsid w:val="00693274"/>
    <w:rsid w:val="00694D43"/>
    <w:rsid w:val="00695A83"/>
    <w:rsid w:val="00695AB5"/>
    <w:rsid w:val="006A160E"/>
    <w:rsid w:val="006A16EF"/>
    <w:rsid w:val="006A2940"/>
    <w:rsid w:val="006B27F3"/>
    <w:rsid w:val="006B3053"/>
    <w:rsid w:val="006B56BF"/>
    <w:rsid w:val="006B66B6"/>
    <w:rsid w:val="006C11FB"/>
    <w:rsid w:val="006C1DD5"/>
    <w:rsid w:val="006C3D24"/>
    <w:rsid w:val="006C6F1B"/>
    <w:rsid w:val="006D2FE1"/>
    <w:rsid w:val="006D7498"/>
    <w:rsid w:val="006E6348"/>
    <w:rsid w:val="006F1525"/>
    <w:rsid w:val="006F40D1"/>
    <w:rsid w:val="006F5892"/>
    <w:rsid w:val="00711E5E"/>
    <w:rsid w:val="0073136C"/>
    <w:rsid w:val="00745FB3"/>
    <w:rsid w:val="0074600C"/>
    <w:rsid w:val="00757CEB"/>
    <w:rsid w:val="00762C2F"/>
    <w:rsid w:val="0077024F"/>
    <w:rsid w:val="00770531"/>
    <w:rsid w:val="00775770"/>
    <w:rsid w:val="007912B5"/>
    <w:rsid w:val="00791805"/>
    <w:rsid w:val="007B5261"/>
    <w:rsid w:val="007C5A1E"/>
    <w:rsid w:val="007D2BBA"/>
    <w:rsid w:val="007D2D50"/>
    <w:rsid w:val="007D44AC"/>
    <w:rsid w:val="007D649B"/>
    <w:rsid w:val="007E0502"/>
    <w:rsid w:val="007F00C1"/>
    <w:rsid w:val="00800CC3"/>
    <w:rsid w:val="00810DD3"/>
    <w:rsid w:val="00811C72"/>
    <w:rsid w:val="00813600"/>
    <w:rsid w:val="008140A8"/>
    <w:rsid w:val="00816E3B"/>
    <w:rsid w:val="008259C5"/>
    <w:rsid w:val="00826AE2"/>
    <w:rsid w:val="00827000"/>
    <w:rsid w:val="00827F70"/>
    <w:rsid w:val="00832078"/>
    <w:rsid w:val="00833524"/>
    <w:rsid w:val="008356F2"/>
    <w:rsid w:val="00867C90"/>
    <w:rsid w:val="0088051A"/>
    <w:rsid w:val="0088249B"/>
    <w:rsid w:val="008838DA"/>
    <w:rsid w:val="00891A21"/>
    <w:rsid w:val="00895A1A"/>
    <w:rsid w:val="0089746F"/>
    <w:rsid w:val="008C141E"/>
    <w:rsid w:val="008D14DD"/>
    <w:rsid w:val="008E0F27"/>
    <w:rsid w:val="008E236E"/>
    <w:rsid w:val="0090074D"/>
    <w:rsid w:val="0090124F"/>
    <w:rsid w:val="009038E6"/>
    <w:rsid w:val="00913ED3"/>
    <w:rsid w:val="009157D9"/>
    <w:rsid w:val="0092159E"/>
    <w:rsid w:val="0092406D"/>
    <w:rsid w:val="00927E7E"/>
    <w:rsid w:val="009328D5"/>
    <w:rsid w:val="00934E15"/>
    <w:rsid w:val="0093546C"/>
    <w:rsid w:val="009416A0"/>
    <w:rsid w:val="00944527"/>
    <w:rsid w:val="009624F0"/>
    <w:rsid w:val="00977FB1"/>
    <w:rsid w:val="009807C2"/>
    <w:rsid w:val="009944BE"/>
    <w:rsid w:val="00994B08"/>
    <w:rsid w:val="009A0C1A"/>
    <w:rsid w:val="009A3220"/>
    <w:rsid w:val="009A6A11"/>
    <w:rsid w:val="009A7622"/>
    <w:rsid w:val="009B5BA6"/>
    <w:rsid w:val="009D17B9"/>
    <w:rsid w:val="009E0445"/>
    <w:rsid w:val="009E048C"/>
    <w:rsid w:val="009E68C6"/>
    <w:rsid w:val="009E7AD5"/>
    <w:rsid w:val="00A047B5"/>
    <w:rsid w:val="00A06DCB"/>
    <w:rsid w:val="00A10480"/>
    <w:rsid w:val="00A11185"/>
    <w:rsid w:val="00A11390"/>
    <w:rsid w:val="00A13534"/>
    <w:rsid w:val="00A14D06"/>
    <w:rsid w:val="00A236A4"/>
    <w:rsid w:val="00A23F48"/>
    <w:rsid w:val="00A35D17"/>
    <w:rsid w:val="00A5094B"/>
    <w:rsid w:val="00A50B3E"/>
    <w:rsid w:val="00A50F58"/>
    <w:rsid w:val="00A54F44"/>
    <w:rsid w:val="00A563C3"/>
    <w:rsid w:val="00A5764D"/>
    <w:rsid w:val="00A60D79"/>
    <w:rsid w:val="00A61D8C"/>
    <w:rsid w:val="00A631DA"/>
    <w:rsid w:val="00A8634B"/>
    <w:rsid w:val="00A87E7C"/>
    <w:rsid w:val="00AA68A1"/>
    <w:rsid w:val="00AB00A6"/>
    <w:rsid w:val="00AC1650"/>
    <w:rsid w:val="00AC4934"/>
    <w:rsid w:val="00AD0405"/>
    <w:rsid w:val="00AD0F10"/>
    <w:rsid w:val="00AE2A11"/>
    <w:rsid w:val="00AF11C3"/>
    <w:rsid w:val="00AF2462"/>
    <w:rsid w:val="00AF4BD5"/>
    <w:rsid w:val="00AF7426"/>
    <w:rsid w:val="00B0274D"/>
    <w:rsid w:val="00B02E49"/>
    <w:rsid w:val="00B056A6"/>
    <w:rsid w:val="00B065BC"/>
    <w:rsid w:val="00B16423"/>
    <w:rsid w:val="00B254DA"/>
    <w:rsid w:val="00B26B83"/>
    <w:rsid w:val="00B3381D"/>
    <w:rsid w:val="00B55DE4"/>
    <w:rsid w:val="00B61AD3"/>
    <w:rsid w:val="00B7387F"/>
    <w:rsid w:val="00B84CE1"/>
    <w:rsid w:val="00BA234A"/>
    <w:rsid w:val="00BB3637"/>
    <w:rsid w:val="00BB5206"/>
    <w:rsid w:val="00BC71EA"/>
    <w:rsid w:val="00BD0BCB"/>
    <w:rsid w:val="00BE02B8"/>
    <w:rsid w:val="00BE077E"/>
    <w:rsid w:val="00BE1687"/>
    <w:rsid w:val="00BF543F"/>
    <w:rsid w:val="00C03873"/>
    <w:rsid w:val="00C13862"/>
    <w:rsid w:val="00C146B7"/>
    <w:rsid w:val="00C151C3"/>
    <w:rsid w:val="00C15405"/>
    <w:rsid w:val="00C16C69"/>
    <w:rsid w:val="00C175BE"/>
    <w:rsid w:val="00C235D8"/>
    <w:rsid w:val="00C320D4"/>
    <w:rsid w:val="00C34DDF"/>
    <w:rsid w:val="00C35124"/>
    <w:rsid w:val="00C35FCC"/>
    <w:rsid w:val="00C40D6E"/>
    <w:rsid w:val="00C41877"/>
    <w:rsid w:val="00C543ED"/>
    <w:rsid w:val="00C57FF2"/>
    <w:rsid w:val="00C643B5"/>
    <w:rsid w:val="00C6509F"/>
    <w:rsid w:val="00C72BD1"/>
    <w:rsid w:val="00CA133F"/>
    <w:rsid w:val="00CA5378"/>
    <w:rsid w:val="00CB02F0"/>
    <w:rsid w:val="00CB0641"/>
    <w:rsid w:val="00CB2DF1"/>
    <w:rsid w:val="00CC2B43"/>
    <w:rsid w:val="00CC5DBE"/>
    <w:rsid w:val="00CC67EA"/>
    <w:rsid w:val="00CD0D94"/>
    <w:rsid w:val="00CD6E57"/>
    <w:rsid w:val="00CF2FAD"/>
    <w:rsid w:val="00CF3097"/>
    <w:rsid w:val="00D110AA"/>
    <w:rsid w:val="00D12AD3"/>
    <w:rsid w:val="00D17B33"/>
    <w:rsid w:val="00D34F14"/>
    <w:rsid w:val="00D36034"/>
    <w:rsid w:val="00D36508"/>
    <w:rsid w:val="00D464E5"/>
    <w:rsid w:val="00D4714D"/>
    <w:rsid w:val="00D50B97"/>
    <w:rsid w:val="00D55C47"/>
    <w:rsid w:val="00D5788B"/>
    <w:rsid w:val="00D57D02"/>
    <w:rsid w:val="00D600C3"/>
    <w:rsid w:val="00D61A6C"/>
    <w:rsid w:val="00D61BEE"/>
    <w:rsid w:val="00D665DA"/>
    <w:rsid w:val="00D8420F"/>
    <w:rsid w:val="00D865C4"/>
    <w:rsid w:val="00D91311"/>
    <w:rsid w:val="00D96D8F"/>
    <w:rsid w:val="00D97427"/>
    <w:rsid w:val="00DB1468"/>
    <w:rsid w:val="00DB14DA"/>
    <w:rsid w:val="00DB6162"/>
    <w:rsid w:val="00DB72BC"/>
    <w:rsid w:val="00DC1430"/>
    <w:rsid w:val="00DC28AC"/>
    <w:rsid w:val="00DC4243"/>
    <w:rsid w:val="00DF75BF"/>
    <w:rsid w:val="00DF7FAC"/>
    <w:rsid w:val="00E06950"/>
    <w:rsid w:val="00E07AF5"/>
    <w:rsid w:val="00E12A4B"/>
    <w:rsid w:val="00E141A6"/>
    <w:rsid w:val="00E16B81"/>
    <w:rsid w:val="00E17CC7"/>
    <w:rsid w:val="00E31126"/>
    <w:rsid w:val="00E320F2"/>
    <w:rsid w:val="00E37950"/>
    <w:rsid w:val="00E43376"/>
    <w:rsid w:val="00E53013"/>
    <w:rsid w:val="00E569CA"/>
    <w:rsid w:val="00E56FA5"/>
    <w:rsid w:val="00E6065E"/>
    <w:rsid w:val="00E6099D"/>
    <w:rsid w:val="00E60DAF"/>
    <w:rsid w:val="00E67845"/>
    <w:rsid w:val="00E71BEC"/>
    <w:rsid w:val="00EA4A7A"/>
    <w:rsid w:val="00EB23EB"/>
    <w:rsid w:val="00EB2752"/>
    <w:rsid w:val="00EE52D4"/>
    <w:rsid w:val="00EF3083"/>
    <w:rsid w:val="00EF3566"/>
    <w:rsid w:val="00EF42A9"/>
    <w:rsid w:val="00EF53C6"/>
    <w:rsid w:val="00EF78A0"/>
    <w:rsid w:val="00F24069"/>
    <w:rsid w:val="00F26123"/>
    <w:rsid w:val="00F26232"/>
    <w:rsid w:val="00F305D2"/>
    <w:rsid w:val="00F34DE6"/>
    <w:rsid w:val="00F568FA"/>
    <w:rsid w:val="00F575D1"/>
    <w:rsid w:val="00F63621"/>
    <w:rsid w:val="00F66A4D"/>
    <w:rsid w:val="00F70316"/>
    <w:rsid w:val="00F71EC0"/>
    <w:rsid w:val="00F83B14"/>
    <w:rsid w:val="00F91EAB"/>
    <w:rsid w:val="00F921BC"/>
    <w:rsid w:val="00F96639"/>
    <w:rsid w:val="00F96B52"/>
    <w:rsid w:val="00FC7121"/>
    <w:rsid w:val="00FD73D7"/>
    <w:rsid w:val="00FF2EA0"/>
    <w:rsid w:val="00FF4F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08C38A"/>
  <w15:chartTrackingRefBased/>
  <w15:docId w15:val="{5031B023-CAF1-4C5B-AD90-4874F126F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93E72"/>
    <w:rPr>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a2,Regulacje,definicje,moj body text"/>
    <w:basedOn w:val="Normalny"/>
    <w:rsid w:val="00293E72"/>
    <w:pPr>
      <w:spacing w:after="120"/>
      <w:jc w:val="both"/>
    </w:pPr>
    <w:rPr>
      <w:rFonts w:ascii="Arial" w:hAnsi="Arial"/>
      <w:sz w:val="22"/>
      <w:szCs w:val="24"/>
    </w:rPr>
  </w:style>
  <w:style w:type="paragraph" w:customStyle="1" w:styleId="Address">
    <w:name w:val="Address"/>
    <w:basedOn w:val="Normalny"/>
    <w:rsid w:val="00293E72"/>
    <w:rPr>
      <w:sz w:val="24"/>
      <w:szCs w:val="20"/>
      <w:lang w:val="en-GB"/>
    </w:rPr>
  </w:style>
  <w:style w:type="paragraph" w:customStyle="1" w:styleId="Domylnie">
    <w:name w:val="Domyślnie"/>
    <w:rsid w:val="00293E72"/>
    <w:rPr>
      <w:snapToGrid w:val="0"/>
      <w:sz w:val="24"/>
      <w:lang w:eastAsia="en-US"/>
    </w:rPr>
  </w:style>
  <w:style w:type="paragraph" w:customStyle="1" w:styleId="WW-BlockText">
    <w:name w:val="WW-Block Text"/>
    <w:basedOn w:val="Domylnie"/>
    <w:rsid w:val="00293E72"/>
    <w:pPr>
      <w:spacing w:before="39" w:after="39"/>
      <w:ind w:left="519" w:right="39" w:hanging="480"/>
    </w:pPr>
  </w:style>
  <w:style w:type="paragraph" w:customStyle="1" w:styleId="WW-Domylnie">
    <w:name w:val="WW-Domyślnie"/>
    <w:rsid w:val="00293E72"/>
    <w:rPr>
      <w:snapToGrid w:val="0"/>
      <w:sz w:val="24"/>
      <w:lang w:eastAsia="en-US"/>
    </w:rPr>
  </w:style>
  <w:style w:type="paragraph" w:styleId="Nagwek">
    <w:name w:val="header"/>
    <w:basedOn w:val="Normalny"/>
    <w:link w:val="NagwekZnak"/>
    <w:uiPriority w:val="99"/>
    <w:rsid w:val="00293E72"/>
    <w:pPr>
      <w:tabs>
        <w:tab w:val="center" w:pos="4536"/>
        <w:tab w:val="right" w:pos="9072"/>
      </w:tabs>
    </w:pPr>
    <w:rPr>
      <w:lang w:val="x-none" w:eastAsia="x-none"/>
    </w:rPr>
  </w:style>
  <w:style w:type="paragraph" w:styleId="Stopka">
    <w:name w:val="footer"/>
    <w:basedOn w:val="Normalny"/>
    <w:link w:val="StopkaZnak"/>
    <w:uiPriority w:val="99"/>
    <w:rsid w:val="00293E72"/>
    <w:pPr>
      <w:tabs>
        <w:tab w:val="center" w:pos="4536"/>
        <w:tab w:val="right" w:pos="9072"/>
      </w:tabs>
    </w:pPr>
    <w:rPr>
      <w:lang w:val="x-none" w:eastAsia="x-none"/>
    </w:rPr>
  </w:style>
  <w:style w:type="paragraph" w:styleId="Tekstprzypisudolnego">
    <w:name w:val="footnote text"/>
    <w:basedOn w:val="Normalny"/>
    <w:semiHidden/>
    <w:rsid w:val="0006108A"/>
    <w:rPr>
      <w:sz w:val="20"/>
      <w:szCs w:val="20"/>
    </w:rPr>
  </w:style>
  <w:style w:type="character" w:styleId="Odwoanieprzypisudolnego">
    <w:name w:val="footnote reference"/>
    <w:semiHidden/>
    <w:rsid w:val="0006108A"/>
    <w:rPr>
      <w:vertAlign w:val="superscript"/>
    </w:rPr>
  </w:style>
  <w:style w:type="paragraph" w:customStyle="1" w:styleId="Default">
    <w:name w:val="Default"/>
    <w:rsid w:val="004C5BDE"/>
    <w:pPr>
      <w:autoSpaceDE w:val="0"/>
      <w:autoSpaceDN w:val="0"/>
      <w:adjustRightInd w:val="0"/>
    </w:pPr>
    <w:rPr>
      <w:rFonts w:ascii="Calibri" w:hAnsi="Calibri" w:cs="Calibri"/>
      <w:color w:val="000000"/>
      <w:sz w:val="24"/>
      <w:szCs w:val="24"/>
    </w:rPr>
  </w:style>
  <w:style w:type="character" w:customStyle="1" w:styleId="StopkaZnak">
    <w:name w:val="Stopka Znak"/>
    <w:link w:val="Stopka"/>
    <w:uiPriority w:val="99"/>
    <w:rsid w:val="00CD6E57"/>
    <w:rPr>
      <w:sz w:val="28"/>
      <w:szCs w:val="28"/>
    </w:rPr>
  </w:style>
  <w:style w:type="paragraph" w:styleId="Tekstdymka">
    <w:name w:val="Balloon Text"/>
    <w:basedOn w:val="Normalny"/>
    <w:link w:val="TekstdymkaZnak"/>
    <w:uiPriority w:val="99"/>
    <w:semiHidden/>
    <w:unhideWhenUsed/>
    <w:rsid w:val="00CD6E57"/>
    <w:rPr>
      <w:rFonts w:ascii="Tahoma" w:hAnsi="Tahoma"/>
      <w:sz w:val="16"/>
      <w:szCs w:val="16"/>
      <w:lang w:val="x-none" w:eastAsia="x-none"/>
    </w:rPr>
  </w:style>
  <w:style w:type="character" w:customStyle="1" w:styleId="TekstdymkaZnak">
    <w:name w:val="Tekst dymka Znak"/>
    <w:link w:val="Tekstdymka"/>
    <w:uiPriority w:val="99"/>
    <w:semiHidden/>
    <w:rsid w:val="00CD6E57"/>
    <w:rPr>
      <w:rFonts w:ascii="Tahoma" w:hAnsi="Tahoma" w:cs="Tahoma"/>
      <w:sz w:val="16"/>
      <w:szCs w:val="16"/>
    </w:rPr>
  </w:style>
  <w:style w:type="character" w:customStyle="1" w:styleId="NagwekZnak">
    <w:name w:val="Nagłówek Znak"/>
    <w:link w:val="Nagwek"/>
    <w:uiPriority w:val="99"/>
    <w:rsid w:val="00590C82"/>
    <w:rPr>
      <w:sz w:val="28"/>
      <w:szCs w:val="28"/>
    </w:rPr>
  </w:style>
  <w:style w:type="paragraph" w:customStyle="1" w:styleId="Standard">
    <w:name w:val="Standard"/>
    <w:rsid w:val="00D464E5"/>
    <w:pPr>
      <w:suppressAutoHyphens/>
      <w:autoSpaceDN w:val="0"/>
      <w:textAlignment w:val="baseline"/>
    </w:pPr>
    <w:rPr>
      <w:kern w:val="3"/>
      <w:sz w:val="24"/>
      <w:szCs w:val="24"/>
    </w:rPr>
  </w:style>
  <w:style w:type="numbering" w:customStyle="1" w:styleId="WWNum7">
    <w:name w:val="WWNum7"/>
    <w:basedOn w:val="Bezlisty"/>
    <w:rsid w:val="00D464E5"/>
    <w:pPr>
      <w:numPr>
        <w:numId w:val="18"/>
      </w:numPr>
    </w:pPr>
  </w:style>
  <w:style w:type="table" w:styleId="Tabela-Siatka">
    <w:name w:val="Table Grid"/>
    <w:basedOn w:val="Standardowy"/>
    <w:uiPriority w:val="59"/>
    <w:rsid w:val="00401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42186">
      <w:bodyDiv w:val="1"/>
      <w:marLeft w:val="0"/>
      <w:marRight w:val="0"/>
      <w:marTop w:val="0"/>
      <w:marBottom w:val="0"/>
      <w:divBdr>
        <w:top w:val="none" w:sz="0" w:space="0" w:color="auto"/>
        <w:left w:val="none" w:sz="0" w:space="0" w:color="auto"/>
        <w:bottom w:val="none" w:sz="0" w:space="0" w:color="auto"/>
        <w:right w:val="none" w:sz="0" w:space="0" w:color="auto"/>
      </w:divBdr>
    </w:div>
    <w:div w:id="65735388">
      <w:bodyDiv w:val="1"/>
      <w:marLeft w:val="0"/>
      <w:marRight w:val="0"/>
      <w:marTop w:val="0"/>
      <w:marBottom w:val="0"/>
      <w:divBdr>
        <w:top w:val="none" w:sz="0" w:space="0" w:color="auto"/>
        <w:left w:val="none" w:sz="0" w:space="0" w:color="auto"/>
        <w:bottom w:val="none" w:sz="0" w:space="0" w:color="auto"/>
        <w:right w:val="none" w:sz="0" w:space="0" w:color="auto"/>
      </w:divBdr>
    </w:div>
    <w:div w:id="828251814">
      <w:bodyDiv w:val="1"/>
      <w:marLeft w:val="0"/>
      <w:marRight w:val="0"/>
      <w:marTop w:val="0"/>
      <w:marBottom w:val="0"/>
      <w:divBdr>
        <w:top w:val="none" w:sz="0" w:space="0" w:color="auto"/>
        <w:left w:val="none" w:sz="0" w:space="0" w:color="auto"/>
        <w:bottom w:val="none" w:sz="0" w:space="0" w:color="auto"/>
        <w:right w:val="none" w:sz="0" w:space="0" w:color="auto"/>
      </w:divBdr>
    </w:div>
    <w:div w:id="845827542">
      <w:bodyDiv w:val="1"/>
      <w:marLeft w:val="0"/>
      <w:marRight w:val="0"/>
      <w:marTop w:val="0"/>
      <w:marBottom w:val="0"/>
      <w:divBdr>
        <w:top w:val="none" w:sz="0" w:space="0" w:color="auto"/>
        <w:left w:val="none" w:sz="0" w:space="0" w:color="auto"/>
        <w:bottom w:val="none" w:sz="0" w:space="0" w:color="auto"/>
        <w:right w:val="none" w:sz="0" w:space="0" w:color="auto"/>
      </w:divBdr>
    </w:div>
    <w:div w:id="1105924946">
      <w:bodyDiv w:val="1"/>
      <w:marLeft w:val="0"/>
      <w:marRight w:val="0"/>
      <w:marTop w:val="0"/>
      <w:marBottom w:val="0"/>
      <w:divBdr>
        <w:top w:val="none" w:sz="0" w:space="0" w:color="auto"/>
        <w:left w:val="none" w:sz="0" w:space="0" w:color="auto"/>
        <w:bottom w:val="none" w:sz="0" w:space="0" w:color="auto"/>
        <w:right w:val="none" w:sz="0" w:space="0" w:color="auto"/>
      </w:divBdr>
    </w:div>
    <w:div w:id="1517771747">
      <w:bodyDiv w:val="1"/>
      <w:marLeft w:val="0"/>
      <w:marRight w:val="0"/>
      <w:marTop w:val="0"/>
      <w:marBottom w:val="0"/>
      <w:divBdr>
        <w:top w:val="none" w:sz="0" w:space="0" w:color="auto"/>
        <w:left w:val="none" w:sz="0" w:space="0" w:color="auto"/>
        <w:bottom w:val="none" w:sz="0" w:space="0" w:color="auto"/>
        <w:right w:val="none" w:sz="0" w:space="0" w:color="auto"/>
      </w:divBdr>
    </w:div>
    <w:div w:id="1618483615">
      <w:bodyDiv w:val="1"/>
      <w:marLeft w:val="0"/>
      <w:marRight w:val="0"/>
      <w:marTop w:val="0"/>
      <w:marBottom w:val="0"/>
      <w:divBdr>
        <w:top w:val="none" w:sz="0" w:space="0" w:color="auto"/>
        <w:left w:val="none" w:sz="0" w:space="0" w:color="auto"/>
        <w:bottom w:val="none" w:sz="0" w:space="0" w:color="auto"/>
        <w:right w:val="none" w:sz="0" w:space="0" w:color="auto"/>
      </w:divBdr>
    </w:div>
    <w:div w:id="1690184227">
      <w:bodyDiv w:val="1"/>
      <w:marLeft w:val="0"/>
      <w:marRight w:val="0"/>
      <w:marTop w:val="0"/>
      <w:marBottom w:val="0"/>
      <w:divBdr>
        <w:top w:val="none" w:sz="0" w:space="0" w:color="auto"/>
        <w:left w:val="none" w:sz="0" w:space="0" w:color="auto"/>
        <w:bottom w:val="none" w:sz="0" w:space="0" w:color="auto"/>
        <w:right w:val="none" w:sz="0" w:space="0" w:color="auto"/>
      </w:divBdr>
    </w:div>
    <w:div w:id="1775199586">
      <w:bodyDiv w:val="1"/>
      <w:marLeft w:val="0"/>
      <w:marRight w:val="0"/>
      <w:marTop w:val="0"/>
      <w:marBottom w:val="0"/>
      <w:divBdr>
        <w:top w:val="none" w:sz="0" w:space="0" w:color="auto"/>
        <w:left w:val="none" w:sz="0" w:space="0" w:color="auto"/>
        <w:bottom w:val="none" w:sz="0" w:space="0" w:color="auto"/>
        <w:right w:val="none" w:sz="0" w:space="0" w:color="auto"/>
      </w:divBdr>
    </w:div>
    <w:div w:id="1807892032">
      <w:bodyDiv w:val="1"/>
      <w:marLeft w:val="0"/>
      <w:marRight w:val="0"/>
      <w:marTop w:val="0"/>
      <w:marBottom w:val="0"/>
      <w:divBdr>
        <w:top w:val="none" w:sz="0" w:space="0" w:color="auto"/>
        <w:left w:val="none" w:sz="0" w:space="0" w:color="auto"/>
        <w:bottom w:val="none" w:sz="0" w:space="0" w:color="auto"/>
        <w:right w:val="none" w:sz="0" w:space="0" w:color="auto"/>
      </w:divBdr>
    </w:div>
    <w:div w:id="1913539598">
      <w:bodyDiv w:val="1"/>
      <w:marLeft w:val="0"/>
      <w:marRight w:val="0"/>
      <w:marTop w:val="0"/>
      <w:marBottom w:val="0"/>
      <w:divBdr>
        <w:top w:val="none" w:sz="0" w:space="0" w:color="auto"/>
        <w:left w:val="none" w:sz="0" w:space="0" w:color="auto"/>
        <w:bottom w:val="none" w:sz="0" w:space="0" w:color="auto"/>
        <w:right w:val="none" w:sz="0" w:space="0" w:color="auto"/>
      </w:divBdr>
    </w:div>
    <w:div w:id="1918128293">
      <w:bodyDiv w:val="1"/>
      <w:marLeft w:val="0"/>
      <w:marRight w:val="0"/>
      <w:marTop w:val="0"/>
      <w:marBottom w:val="0"/>
      <w:divBdr>
        <w:top w:val="none" w:sz="0" w:space="0" w:color="auto"/>
        <w:left w:val="none" w:sz="0" w:space="0" w:color="auto"/>
        <w:bottom w:val="none" w:sz="0" w:space="0" w:color="auto"/>
        <w:right w:val="none" w:sz="0" w:space="0" w:color="auto"/>
      </w:divBdr>
    </w:div>
    <w:div w:id="1934894595">
      <w:bodyDiv w:val="1"/>
      <w:marLeft w:val="0"/>
      <w:marRight w:val="0"/>
      <w:marTop w:val="0"/>
      <w:marBottom w:val="0"/>
      <w:divBdr>
        <w:top w:val="none" w:sz="0" w:space="0" w:color="auto"/>
        <w:left w:val="none" w:sz="0" w:space="0" w:color="auto"/>
        <w:bottom w:val="none" w:sz="0" w:space="0" w:color="auto"/>
        <w:right w:val="none" w:sz="0" w:space="0" w:color="auto"/>
      </w:divBdr>
    </w:div>
    <w:div w:id="210910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837</Words>
  <Characters>5025</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zouw</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dc:creator>
  <cp:keywords/>
  <cp:lastModifiedBy>Mirosław Koczwara - Lokalne</cp:lastModifiedBy>
  <cp:revision>7</cp:revision>
  <cp:lastPrinted>2022-06-15T12:04:00Z</cp:lastPrinted>
  <dcterms:created xsi:type="dcterms:W3CDTF">2024-07-01T09:47:00Z</dcterms:created>
  <dcterms:modified xsi:type="dcterms:W3CDTF">2024-07-01T19:55:00Z</dcterms:modified>
</cp:coreProperties>
</file>