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9" w:rsidRPr="00F91F25" w:rsidRDefault="006B0B55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Załącznik nr 5</w:t>
      </w:r>
    </w:p>
    <w:p w:rsidR="00974B2C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FORMULARZ OFERTY</w:t>
      </w:r>
    </w:p>
    <w:p w:rsidR="00E55709" w:rsidRDefault="00032EE6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CZĘŚĆ IV</w:t>
      </w:r>
      <w:r w:rsidR="00E55709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380914" w:rsidRPr="00245EE7" w:rsidRDefault="00032EE6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Dostawa sprzętu serwerowego</w:t>
      </w:r>
      <w:r w:rsidR="009E07B0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Nazwa i adres Wykonawcy:  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5B031E" w:rsidRPr="00245EE7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NIP:  …………………………………………………………………….</w:t>
      </w:r>
    </w:p>
    <w:p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Tel. …………………………….…… Email:…………………………………</w:t>
      </w: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:rsidR="00E55709" w:rsidRPr="00245EE7" w:rsidRDefault="00E55709" w:rsidP="00E55709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9E07B0" w:rsidRPr="00F91F25" w:rsidTr="00971026">
        <w:tc>
          <w:tcPr>
            <w:tcW w:w="9497" w:type="dxa"/>
          </w:tcPr>
          <w:p w:rsidR="009E07B0" w:rsidRDefault="009E07B0" w:rsidP="008D6799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:rsidR="009E07B0" w:rsidRDefault="009E07B0" w:rsidP="008D6799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……………………………………………………………………………………………….. brutto </w:t>
            </w:r>
          </w:p>
          <w:p w:rsidR="009E07B0" w:rsidRPr="00F91F25" w:rsidRDefault="009E07B0" w:rsidP="008D6799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380914" w:rsidRPr="00F91F25" w:rsidTr="008D6799">
        <w:tc>
          <w:tcPr>
            <w:tcW w:w="9497" w:type="dxa"/>
          </w:tcPr>
          <w:p w:rsidR="00380914" w:rsidRDefault="0038091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:rsidR="00380914" w:rsidRDefault="0038091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Termin realizacji zamówienia </w:t>
            </w:r>
            <w:r w:rsidR="005B031E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          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……………  dni (nie </w:t>
            </w:r>
            <w:r w:rsidR="005B031E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mniej niż 10 dni nie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więcej niż 60dni)</w:t>
            </w:r>
          </w:p>
          <w:p w:rsidR="00380914" w:rsidRPr="00F91F25" w:rsidRDefault="0038091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</w:tbl>
    <w:p w:rsidR="00E55709" w:rsidRPr="00F91F25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Oświadczamy, że zapoznaliśmy się z udostępnioną przez Zamawiającego Specyfikacją Warunków Zamówienia i nie wnosimy do niej żadnych zastrzeżeń.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 xml:space="preserve">Uważamy się za związanych niniejszą ofertą przez okres 30 dni od upływu terminu składania ofert, zgodnie z zapisami Specyfikacji Warunków Zamówienia 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:rsidR="00E55709" w:rsidRPr="00245EE7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/>
          <w:sz w:val="22"/>
          <w:szCs w:val="22"/>
        </w:rPr>
        <w:t>Oświadczam/y, że za</w:t>
      </w:r>
      <w:r>
        <w:rPr>
          <w:rFonts w:ascii="Garamond" w:hAnsi="Garamond"/>
          <w:sz w:val="22"/>
          <w:szCs w:val="22"/>
        </w:rPr>
        <w:t>poznałem/-liśmy się z punktem 23 S</w:t>
      </w:r>
      <w:r w:rsidRPr="00245EE7">
        <w:rPr>
          <w:rFonts w:ascii="Garamond" w:hAnsi="Garamond"/>
          <w:sz w:val="22"/>
          <w:szCs w:val="22"/>
        </w:rPr>
        <w:t>WZ „Informacja dotycząca przetwarzania danych osobowych”.</w:t>
      </w:r>
    </w:p>
    <w:p w:rsidR="00E55709" w:rsidRPr="009E07B0" w:rsidRDefault="00E55709" w:rsidP="00E5570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45EE7">
        <w:rPr>
          <w:rFonts w:ascii="Garamond" w:hAnsi="Garamond" w:cs="Segoe UI"/>
          <w:sz w:val="22"/>
          <w:szCs w:val="22"/>
          <w:lang w:eastAsia="pl-PL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45EE7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  <w:r w:rsidR="009E07B0">
        <w:rPr>
          <w:rFonts w:ascii="Garamond" w:hAnsi="Garamond" w:cs="Segoe UI"/>
          <w:b/>
          <w:bCs/>
          <w:sz w:val="22"/>
          <w:szCs w:val="22"/>
          <w:lang w:eastAsia="pl-PL"/>
        </w:rPr>
        <w:t>.</w:t>
      </w:r>
    </w:p>
    <w:p w:rsidR="00E55709" w:rsidRPr="009E07B0" w:rsidRDefault="00E55709" w:rsidP="009E07B0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9E07B0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245EE7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55709" w:rsidRPr="00245EE7" w:rsidTr="008D6799">
        <w:tc>
          <w:tcPr>
            <w:tcW w:w="3969" w:type="dxa"/>
            <w:shd w:val="clear" w:color="auto" w:fill="BFBFBF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245EE7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Firma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245EE7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55709" w:rsidRPr="00245EE7" w:rsidTr="008D6799">
        <w:tc>
          <w:tcPr>
            <w:tcW w:w="3969" w:type="dxa"/>
            <w:shd w:val="clear" w:color="auto" w:fill="auto"/>
            <w:vAlign w:val="center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55709" w:rsidRPr="00245EE7" w:rsidRDefault="00E55709" w:rsidP="008D6799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:rsidR="009E07B0" w:rsidRDefault="009E07B0" w:rsidP="00E55709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:rsidR="009E07B0" w:rsidRDefault="009E07B0">
      <w:pPr>
        <w:suppressAutoHyphens w:val="0"/>
        <w:spacing w:after="160" w:line="259" w:lineRule="auto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br w:type="page"/>
      </w:r>
    </w:p>
    <w:p w:rsidR="009E07B0" w:rsidRDefault="009E07B0" w:rsidP="00E55709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:rsidR="005B031E" w:rsidRPr="00511470" w:rsidRDefault="009E07B0" w:rsidP="005B031E">
      <w:pPr>
        <w:pStyle w:val="Akapitzlist"/>
        <w:numPr>
          <w:ilvl w:val="4"/>
          <w:numId w:val="2"/>
        </w:numPr>
        <w:spacing w:before="120"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W</w:t>
      </w:r>
      <w:r w:rsidR="005B031E" w:rsidRPr="00511470">
        <w:rPr>
          <w:rFonts w:ascii="Garamond" w:hAnsi="Garamond" w:cs="Arial"/>
          <w:sz w:val="23"/>
          <w:szCs w:val="23"/>
        </w:rPr>
        <w:t>ykonawca jest:</w:t>
      </w:r>
    </w:p>
    <w:p w:rsidR="005B031E" w:rsidRPr="00511470" w:rsidRDefault="005B031E" w:rsidP="005B031E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mikroprzedsiębiorstwem</w:t>
      </w:r>
    </w:p>
    <w:p w:rsidR="005B031E" w:rsidRPr="00511470" w:rsidRDefault="005B031E" w:rsidP="005B031E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małym</w:t>
      </w:r>
    </w:p>
    <w:p w:rsidR="005B031E" w:rsidRPr="00CE0AB9" w:rsidRDefault="005B031E" w:rsidP="00CE0AB9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3"/>
          <w:szCs w:val="23"/>
        </w:rPr>
      </w:pPr>
      <w:r w:rsidRPr="00511470">
        <w:rPr>
          <w:rFonts w:ascii="Garamond" w:hAnsi="Garamond" w:cs="Arial"/>
          <w:b/>
          <w:bCs/>
          <w:sz w:val="23"/>
          <w:szCs w:val="23"/>
        </w:rPr>
        <w:t xml:space="preserve">□ </w:t>
      </w:r>
      <w:r w:rsidRPr="00511470">
        <w:rPr>
          <w:rFonts w:ascii="Garamond" w:hAnsi="Garamond" w:cs="Arial"/>
          <w:sz w:val="23"/>
          <w:szCs w:val="23"/>
        </w:rPr>
        <w:t>średnim przedsiębiorstwem</w:t>
      </w:r>
      <w:r w:rsidRPr="00511470">
        <w:rPr>
          <w:rStyle w:val="Zakotwiczenieprzypisudolnego"/>
          <w:rFonts w:ascii="Garamond" w:hAnsi="Garamond" w:cs="Arial"/>
          <w:sz w:val="23"/>
          <w:szCs w:val="23"/>
        </w:rPr>
        <w:footnoteReference w:id="1"/>
      </w:r>
    </w:p>
    <w:p w:rsidR="00E55709" w:rsidRPr="00245EE7" w:rsidRDefault="00E55709" w:rsidP="00E55709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:rsidR="00E55709" w:rsidRPr="00245EE7" w:rsidRDefault="00E55709" w:rsidP="00E55709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245EE7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:rsidR="00E55709" w:rsidRPr="001C6AC7" w:rsidRDefault="001C6AC7" w:rsidP="001C6AC7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1C6AC7">
        <w:rPr>
          <w:rFonts w:ascii="Garamond" w:hAnsi="Garamond" w:cs="Arial"/>
          <w:b/>
          <w:bCs/>
          <w:sz w:val="22"/>
          <w:szCs w:val="22"/>
        </w:rPr>
        <w:t>□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E55709" w:rsidRPr="001C6AC7">
        <w:rPr>
          <w:rFonts w:ascii="Garamond" w:hAnsi="Garamond" w:cs="Arial"/>
          <w:b/>
          <w:bCs/>
          <w:sz w:val="22"/>
          <w:szCs w:val="22"/>
        </w:rPr>
        <w:t xml:space="preserve">nie będzie </w:t>
      </w:r>
      <w:r w:rsidR="00E55709" w:rsidRPr="001C6AC7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</w:t>
      </w:r>
      <w:r w:rsidR="00E55709" w:rsidRPr="001C6AC7">
        <w:rPr>
          <w:rFonts w:ascii="Garamond" w:hAnsi="Garamond" w:cs="Arial"/>
          <w:sz w:val="22"/>
          <w:szCs w:val="22"/>
          <w:vertAlign w:val="superscript"/>
        </w:rPr>
        <w:t>*</w:t>
      </w:r>
      <w:r w:rsidR="00E55709" w:rsidRPr="001C6AC7">
        <w:rPr>
          <w:rFonts w:ascii="Garamond" w:hAnsi="Garamond" w:cs="Arial"/>
          <w:sz w:val="22"/>
          <w:szCs w:val="22"/>
        </w:rPr>
        <w:t>;</w:t>
      </w:r>
    </w:p>
    <w:p w:rsidR="00E55709" w:rsidRPr="001C6AC7" w:rsidRDefault="001C6AC7" w:rsidP="001C6AC7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="00E55709" w:rsidRPr="001C6AC7">
        <w:rPr>
          <w:rFonts w:ascii="Garamond" w:hAnsi="Garamond" w:cs="Arial"/>
          <w:b/>
          <w:bCs/>
          <w:sz w:val="22"/>
          <w:szCs w:val="22"/>
        </w:rPr>
        <w:t xml:space="preserve">będzie </w:t>
      </w:r>
      <w:r w:rsidR="00E55709" w:rsidRPr="001C6AC7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E55709" w:rsidRPr="00245EE7" w:rsidRDefault="00E55709" w:rsidP="00E55709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245EE7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:rsidR="00E55709" w:rsidRPr="00245EE7" w:rsidRDefault="00E55709" w:rsidP="00E55709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E55709" w:rsidRPr="00245EE7" w:rsidRDefault="00E55709" w:rsidP="00E55709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245EE7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245EE7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245EE7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245EE7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:rsidR="00E55709" w:rsidRPr="00245EE7" w:rsidRDefault="00E55709" w:rsidP="00E55709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</w:p>
    <w:p w:rsidR="00E55709" w:rsidRPr="00245EE7" w:rsidRDefault="00E55709" w:rsidP="00E55709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</w:rPr>
      </w:pPr>
      <w:r w:rsidRPr="00245EE7">
        <w:rPr>
          <w:rFonts w:ascii="Garamond" w:hAnsi="Garamond" w:cs="Arial"/>
          <w:b/>
          <w:i/>
          <w:sz w:val="22"/>
          <w:szCs w:val="22"/>
          <w:vertAlign w:val="superscript"/>
        </w:rPr>
        <w:t>*</w:t>
      </w:r>
      <w:r w:rsidRPr="00245EE7">
        <w:rPr>
          <w:rFonts w:ascii="Garamond" w:hAnsi="Garamond" w:cs="Arial"/>
          <w:b/>
          <w:i/>
          <w:sz w:val="22"/>
          <w:szCs w:val="22"/>
        </w:rPr>
        <w:t>niepotrzebne skreślić</w:t>
      </w:r>
    </w:p>
    <w:p w:rsidR="00E55709" w:rsidRPr="00245EE7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t.j</w:t>
      </w:r>
      <w:proofErr w:type="spellEnd"/>
      <w:r w:rsidRPr="00245EE7">
        <w:rPr>
          <w:rFonts w:ascii="Garamond" w:hAnsi="Garamond" w:cs="Arial"/>
          <w:b/>
          <w:bCs/>
          <w:sz w:val="22"/>
          <w:szCs w:val="22"/>
          <w:lang w:eastAsia="en-US"/>
        </w:rPr>
        <w:t>. Dz. U. z 2021 r. poz. 685).</w:t>
      </w: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E55709" w:rsidRPr="00735C01" w:rsidRDefault="00E55709" w:rsidP="00E55709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735C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  <w:r w:rsidR="00006F5E" w:rsidRPr="00735C01">
        <w:rPr>
          <w:rFonts w:ascii="Garamond" w:hAnsi="Garamond"/>
          <w:color w:val="FF0000"/>
          <w:sz w:val="22"/>
          <w:szCs w:val="22"/>
          <w:lang w:eastAsia="pl-PL"/>
        </w:rPr>
        <w:t xml:space="preserve"> (e-dowód)</w:t>
      </w:r>
    </w:p>
    <w:p w:rsidR="00E55709" w:rsidRPr="00735C01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color w:val="FF0000"/>
          <w:sz w:val="22"/>
          <w:szCs w:val="22"/>
          <w:lang w:eastAsia="en-US"/>
        </w:rPr>
      </w:pPr>
    </w:p>
    <w:p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br w:type="page"/>
      </w:r>
    </w:p>
    <w:p w:rsidR="00380914" w:rsidRPr="006569A4" w:rsidRDefault="006B0B55" w:rsidP="00380914">
      <w:pPr>
        <w:shd w:val="clear" w:color="auto" w:fill="FFFFFF"/>
        <w:autoSpaceDE w:val="0"/>
        <w:autoSpaceDN w:val="0"/>
        <w:adjustRightInd w:val="0"/>
        <w:jc w:val="right"/>
        <w:rPr>
          <w:rFonts w:ascii="Garamond" w:hAnsi="Garamond" w:cs="Calibri"/>
          <w:b/>
          <w:bCs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lastRenderedPageBreak/>
        <w:t>Załącznik nr 5</w:t>
      </w:r>
      <w:bookmarkStart w:id="0" w:name="_GoBack"/>
      <w:bookmarkEnd w:id="0"/>
      <w:r w:rsidR="00380914" w:rsidRPr="006569A4">
        <w:rPr>
          <w:rFonts w:ascii="Garamond" w:hAnsi="Garamond" w:cs="Calibri"/>
          <w:b/>
          <w:bCs/>
          <w:sz w:val="22"/>
          <w:szCs w:val="22"/>
        </w:rPr>
        <w:t>a</w:t>
      </w:r>
    </w:p>
    <w:p w:rsidR="00380914" w:rsidRPr="009E07B0" w:rsidRDefault="00380914" w:rsidP="00380914">
      <w:pPr>
        <w:shd w:val="clear" w:color="auto" w:fill="FFFFFF"/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</w:p>
    <w:p w:rsidR="00380914" w:rsidRPr="009E07B0" w:rsidRDefault="00380914" w:rsidP="00A602CC">
      <w:pPr>
        <w:shd w:val="clear" w:color="auto" w:fill="FFFFFF"/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  <w:r w:rsidRPr="009E07B0">
        <w:rPr>
          <w:rFonts w:ascii="Garamond" w:hAnsi="Garamond" w:cs="Calibri"/>
          <w:b/>
          <w:bCs/>
          <w:sz w:val="22"/>
          <w:szCs w:val="22"/>
          <w:u w:val="single"/>
        </w:rPr>
        <w:t>S</w:t>
      </w:r>
      <w:r w:rsidR="00032EE6">
        <w:rPr>
          <w:rFonts w:ascii="Garamond" w:hAnsi="Garamond" w:cs="Calibri"/>
          <w:b/>
          <w:bCs/>
          <w:sz w:val="22"/>
          <w:szCs w:val="22"/>
          <w:u w:val="single"/>
        </w:rPr>
        <w:t>PECYFIKACJA TECHNICZNA – SPRZĘT SERWEROWY</w:t>
      </w:r>
    </w:p>
    <w:p w:rsidR="00A602CC" w:rsidRPr="009E07B0" w:rsidRDefault="00A602CC" w:rsidP="00A602C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380914" w:rsidRPr="009E07B0" w:rsidRDefault="00A602CC" w:rsidP="00A602C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E07B0">
        <w:rPr>
          <w:rFonts w:ascii="Garamond" w:hAnsi="Garamond"/>
          <w:b/>
          <w:sz w:val="22"/>
          <w:szCs w:val="22"/>
          <w:u w:val="single"/>
        </w:rPr>
        <w:t>Wykonawca zobowiązany jest do potwierdzenia wszystkich wymagań zawartych w specyfikacji technicznej</w:t>
      </w:r>
      <w:r w:rsidRPr="009E07B0">
        <w:rPr>
          <w:rFonts w:ascii="Garamond" w:hAnsi="Garamond"/>
          <w:sz w:val="22"/>
          <w:szCs w:val="22"/>
        </w:rPr>
        <w:t xml:space="preserve">. Przez potwierdzenie wymagań Zamawiający rozumie </w:t>
      </w:r>
      <w:r w:rsidRPr="009E07B0">
        <w:rPr>
          <w:rFonts w:ascii="Garamond" w:hAnsi="Garamond"/>
          <w:b/>
          <w:sz w:val="22"/>
          <w:szCs w:val="22"/>
          <w:u w:val="single"/>
        </w:rPr>
        <w:t>wypisanie wszystkich parametrów technicznych proponowanego sprzętu</w:t>
      </w:r>
    </w:p>
    <w:p w:rsidR="00380914" w:rsidRPr="00380914" w:rsidRDefault="00380914" w:rsidP="00380914">
      <w:pPr>
        <w:autoSpaceDE w:val="0"/>
        <w:autoSpaceDN w:val="0"/>
        <w:adjustRightInd w:val="0"/>
        <w:rPr>
          <w:rFonts w:ascii="Garamond" w:hAnsi="Garamond" w:cs="Calibr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7"/>
        <w:gridCol w:w="5242"/>
      </w:tblGrid>
      <w:tr w:rsidR="00380914" w:rsidRPr="00380914" w:rsidTr="006B0B55">
        <w:tc>
          <w:tcPr>
            <w:tcW w:w="4817" w:type="dxa"/>
          </w:tcPr>
          <w:p w:rsidR="00380914" w:rsidRPr="007768DC" w:rsidRDefault="00380914" w:rsidP="003809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7768DC">
              <w:rPr>
                <w:rFonts w:ascii="Garamond" w:hAnsi="Garamond" w:cs="Calibri"/>
                <w:b/>
                <w:bCs/>
                <w:sz w:val="22"/>
                <w:szCs w:val="22"/>
              </w:rPr>
              <w:t>Wymagania Zamawiającego</w:t>
            </w:r>
          </w:p>
        </w:tc>
        <w:tc>
          <w:tcPr>
            <w:tcW w:w="5242" w:type="dxa"/>
          </w:tcPr>
          <w:p w:rsidR="00380914" w:rsidRPr="007768DC" w:rsidRDefault="00380914" w:rsidP="00F31C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7768DC">
              <w:rPr>
                <w:rFonts w:ascii="Garamond" w:eastAsia="Calibri" w:hAnsi="Garamond" w:cstheme="minorBidi"/>
                <w:b/>
                <w:sz w:val="22"/>
                <w:szCs w:val="22"/>
                <w:lang w:eastAsia="en-US"/>
              </w:rPr>
              <w:t>Parametry techniczne</w:t>
            </w:r>
            <w:r w:rsidR="00F31CAC" w:rsidRPr="007768DC">
              <w:rPr>
                <w:rFonts w:ascii="Garamond" w:eastAsia="Calibri" w:hAnsi="Garamond" w:cstheme="minorBidi"/>
                <w:b/>
                <w:sz w:val="22"/>
                <w:szCs w:val="22"/>
                <w:lang w:eastAsia="en-US"/>
              </w:rPr>
              <w:t xml:space="preserve"> proponowanego sprzętu</w:t>
            </w:r>
          </w:p>
        </w:tc>
      </w:tr>
      <w:tr w:rsidR="00F31CAC" w:rsidRPr="00380914" w:rsidTr="006B0B55">
        <w:tc>
          <w:tcPr>
            <w:tcW w:w="4817" w:type="dxa"/>
          </w:tcPr>
          <w:p w:rsidR="00F31CAC" w:rsidRPr="007768DC" w:rsidRDefault="00F31CAC" w:rsidP="00380914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  <w:p w:rsidR="00F31CAC" w:rsidRPr="007768DC" w:rsidRDefault="00F31CAC" w:rsidP="00380914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7768DC">
              <w:rPr>
                <w:rFonts w:ascii="Garamond" w:hAnsi="Garamond" w:cs="Calibri"/>
                <w:b/>
                <w:bCs/>
                <w:sz w:val="22"/>
                <w:szCs w:val="22"/>
              </w:rPr>
              <w:t xml:space="preserve">Marka/Symbol/ Model </w:t>
            </w:r>
          </w:p>
          <w:p w:rsidR="00F31CAC" w:rsidRPr="007768DC" w:rsidRDefault="00F31CAC" w:rsidP="00380914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</w:tcPr>
          <w:p w:rsidR="00F31CAC" w:rsidRPr="007768DC" w:rsidRDefault="00F31CAC" w:rsidP="00380914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Rodzaj obudowy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Przystosowana do instalacji w szafie </w:t>
            </w:r>
            <w:proofErr w:type="spellStart"/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Rack</w:t>
            </w:r>
            <w:proofErr w:type="spellEnd"/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19”, wysokość maksymalna 1U z zestawem szyn mocujących z możliwością wysuwania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Procesor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Architektura x64, minimum 8 rdzeni. Procesor nie może mieć mniej punktów w teście </w:t>
            </w:r>
            <w:proofErr w:type="spellStart"/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PassMark</w:t>
            </w:r>
            <w:proofErr w:type="spellEnd"/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CPU niż przykładowy Intel Xeon Silver 4208 (2,1GHz, 8 rdzeni/16 wątków, 9,6GT/s, 11MB pamięci podręcznej, Turbo, HT,85W)  </w:t>
            </w:r>
            <w:hyperlink r:id="rId8" w:history="1">
              <w:r w:rsidRPr="007768DC">
                <w:rPr>
                  <w:rStyle w:val="Hipercze"/>
                  <w:rFonts w:ascii="Garamond" w:eastAsia="Calibri" w:hAnsi="Garamond"/>
                  <w:sz w:val="22"/>
                  <w:szCs w:val="22"/>
                  <w:lang w:eastAsia="en-US"/>
                </w:rPr>
                <w:t>Link</w:t>
              </w:r>
            </w:hyperlink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Ilość procesorów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Płyta główna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Dedykowana do pracy w serwerach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Pamięć operacyjna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Zainstalowane minimum 32GB RAM RDIMM, 3200MT/s, w modułach dwubankowych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Karta graficzna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Zintegrowana karta graficzna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7768DC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Dyski twarde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Zainstalowane 4 480GB SSD SATA 6Gb/s 512 2,5" dysk AG do intensywnego odczytu wymieniany bez wyłączania, 1 DWPD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7768DC" w:rsidRPr="007768DC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Kontroler RAID</w:t>
            </w:r>
            <w:r w:rsidRPr="007768D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Wewnętrzny kontroler PERC</w:t>
            </w:r>
          </w:p>
          <w:p w:rsidR="009E07B0" w:rsidRPr="007768DC" w:rsidRDefault="007768DC" w:rsidP="007768DC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7768DC">
              <w:rPr>
                <w:rFonts w:ascii="Garamond" w:eastAsia="Calibri" w:hAnsi="Garamond"/>
                <w:sz w:val="22"/>
                <w:szCs w:val="22"/>
                <w:lang w:eastAsia="en-US"/>
              </w:rPr>
              <w:t>Karta PERC H750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6B0B55" w:rsidRDefault="007768DC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Zasilacz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Podwójny nadmiarowy zasilacz wymieniany bez wyłączania systemu (1+1), 550W, CE, Platinum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Interfejsy sieciowe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Broadcom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5720 dwuportowa karta sieciowa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Mezzanine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LOM 1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GbE</w:t>
            </w:r>
            <w:proofErr w:type="spellEnd"/>
          </w:p>
          <w:p w:rsidR="009E07B0" w:rsidRPr="006B0B55" w:rsidRDefault="007768DC" w:rsidP="007768DC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Dwuportowa karta LOM 1GbE na płycie głównej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Dodatkowe porty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Przód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obudowy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– 1 x Dedicated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iDRAC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direct USB</w:t>
            </w:r>
          </w:p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1 x USB 2.0</w:t>
            </w:r>
          </w:p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1 x Video</w:t>
            </w:r>
          </w:p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Tył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obudowy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- 1 x Dedicated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iDRAC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network port</w:t>
            </w:r>
          </w:p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1 x Serial</w:t>
            </w:r>
          </w:p>
          <w:p w:rsidR="007768DC" w:rsidRPr="006B0B55" w:rsidRDefault="007768DC" w:rsidP="007768DC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2 x USB 3.0</w:t>
            </w:r>
          </w:p>
          <w:p w:rsidR="009E07B0" w:rsidRPr="006B0B55" w:rsidRDefault="007768DC" w:rsidP="007768DC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1 x Video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6B0B55" w:rsidRPr="006B0B55" w:rsidRDefault="006B0B55" w:rsidP="006B0B55">
            <w:pPr>
              <w:suppressAutoHyphens w:val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Zarządzanie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Niezależny od systemu operacyjnego, zintegrowany z płytą główną sprzętowy kontroler zdalnego zarządzania urządzeniem umożliwiający: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- zdalny restart serwera</w:t>
            </w:r>
          </w:p>
          <w:p w:rsidR="006B0B55" w:rsidRPr="006B0B55" w:rsidRDefault="006B0B55" w:rsidP="006B0B55">
            <w:pPr>
              <w:suppressAutoHyphens w:val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- zdalne włączenie/wyłączenie serwera </w:t>
            </w:r>
          </w:p>
          <w:p w:rsidR="009E07B0" w:rsidRPr="006B0B55" w:rsidRDefault="006B0B55" w:rsidP="006B0B55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- zdalny dostęp do serwera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6B0B55" w:rsidRDefault="006B0B55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Zabezpieczenia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Moduł TPM 2.0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6B0B55" w:rsidRDefault="006B0B55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Wyświetlacz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Wyświetlacz LED na froncie obudowy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6B0B55" w:rsidRDefault="006B0B55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System operacyjny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Windows Server 2016 Standard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6B0B55" w:rsidRPr="006B0B55" w:rsidRDefault="006B0B55" w:rsidP="006B0B55">
            <w:pPr>
              <w:suppressAutoHyphens w:val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Gwarancja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Minimum 36 miesięcy wsparcia producenta lub autoryzowanego serwisu dla każdego podzespołu serwera, naprawa świadczona w miejscu instalacji sprzętu. Czas naprawy 24h od momentu zgłoszenia usterki (telefonicznie lub pocztą elektroniczną),</w:t>
            </w:r>
          </w:p>
          <w:p w:rsidR="006B0B55" w:rsidRPr="006B0B55" w:rsidRDefault="006B0B55" w:rsidP="006B0B55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Next Business Day 36 MONTHS,</w:t>
            </w:r>
          </w:p>
          <w:p w:rsidR="006B0B55" w:rsidRPr="006B0B55" w:rsidRDefault="006B0B55" w:rsidP="006B0B55">
            <w:pPr>
              <w:suppressAutoHyphens w:val="0"/>
              <w:rPr>
                <w:rFonts w:ascii="Garamond" w:eastAsia="Calibri" w:hAnsi="Garamond"/>
                <w:sz w:val="22"/>
                <w:szCs w:val="22"/>
                <w:lang w:val="en-US" w:eastAsia="en-US"/>
              </w:rPr>
            </w:pP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ProSupport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Next Business Day Onsite Service Initial, 36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Mies</w:t>
            </w:r>
            <w:proofErr w:type="spellEnd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.</w:t>
            </w:r>
          </w:p>
          <w:p w:rsidR="009E07B0" w:rsidRPr="006B0B55" w:rsidRDefault="006B0B55" w:rsidP="006B0B55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Keep Your Hard Drive For Enterprise T2, 36 </w:t>
            </w:r>
            <w:proofErr w:type="spellStart"/>
            <w:r w:rsidRPr="006B0B55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Mies</w:t>
            </w:r>
            <w:proofErr w:type="spellEnd"/>
          </w:p>
        </w:tc>
        <w:tc>
          <w:tcPr>
            <w:tcW w:w="5242" w:type="dxa"/>
          </w:tcPr>
          <w:p w:rsidR="009E07B0" w:rsidRPr="007768DC" w:rsidRDefault="009E07B0" w:rsidP="009E07B0">
            <w:pPr>
              <w:contextualSpacing/>
              <w:rPr>
                <w:rFonts w:ascii="Garamond" w:hAnsi="Garamond" w:cs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9E07B0" w:rsidRPr="00380914" w:rsidTr="006B0B55">
        <w:trPr>
          <w:trHeight w:val="58"/>
        </w:trPr>
        <w:tc>
          <w:tcPr>
            <w:tcW w:w="4817" w:type="dxa"/>
          </w:tcPr>
          <w:p w:rsidR="009E07B0" w:rsidRPr="006B0B55" w:rsidRDefault="006B0B55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lastRenderedPageBreak/>
              <w:t>Certyfikaty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CE – dołączone do oferty dotyczący urządzenia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</w:tc>
      </w:tr>
      <w:tr w:rsidR="009E07B0" w:rsidRPr="00380914" w:rsidTr="006B0B55">
        <w:tc>
          <w:tcPr>
            <w:tcW w:w="4817" w:type="dxa"/>
          </w:tcPr>
          <w:p w:rsidR="009E07B0" w:rsidRPr="006B0B55" w:rsidRDefault="006B0B55" w:rsidP="009E07B0">
            <w:pPr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Waga</w:t>
            </w:r>
            <w:r w:rsidRPr="006B0B5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: </w:t>
            </w:r>
            <w:r w:rsidRPr="006B0B55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Maksymalnie 18 kg</w:t>
            </w:r>
          </w:p>
        </w:tc>
        <w:tc>
          <w:tcPr>
            <w:tcW w:w="5242" w:type="dxa"/>
          </w:tcPr>
          <w:p w:rsidR="009E07B0" w:rsidRPr="007768DC" w:rsidRDefault="009E07B0" w:rsidP="009E07B0">
            <w:pPr>
              <w:autoSpaceDE w:val="0"/>
              <w:autoSpaceDN w:val="0"/>
              <w:adjustRightInd w:val="0"/>
              <w:spacing w:line="252" w:lineRule="auto"/>
              <w:rPr>
                <w:rFonts w:ascii="Garamond" w:hAnsi="Garamond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380914" w:rsidRPr="00380914" w:rsidRDefault="00380914" w:rsidP="00380914">
      <w:pPr>
        <w:suppressAutoHyphens w:val="0"/>
        <w:autoSpaceDE w:val="0"/>
        <w:autoSpaceDN w:val="0"/>
        <w:adjustRightInd w:val="0"/>
        <w:spacing w:after="160" w:line="252" w:lineRule="auto"/>
        <w:rPr>
          <w:rFonts w:ascii="Garamond" w:hAnsi="Garamond" w:cs="Calibri"/>
          <w:b/>
          <w:bCs/>
          <w:sz w:val="22"/>
          <w:szCs w:val="22"/>
        </w:rPr>
      </w:pPr>
    </w:p>
    <w:p w:rsidR="005D6F4C" w:rsidRDefault="005D6F4C" w:rsidP="00380914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</w:p>
    <w:p w:rsidR="00524AFA" w:rsidRPr="00735C01" w:rsidRDefault="00380914" w:rsidP="009E07B0">
      <w:pPr>
        <w:suppressAutoHyphens w:val="0"/>
        <w:spacing w:line="276" w:lineRule="auto"/>
        <w:jc w:val="both"/>
        <w:rPr>
          <w:color w:val="FF0000"/>
        </w:rPr>
      </w:pPr>
      <w:r w:rsidRPr="00735C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sectPr w:rsidR="00524AFA" w:rsidRPr="00735C01" w:rsidSect="0013309A">
      <w:pgSz w:w="11906" w:h="16838"/>
      <w:pgMar w:top="426" w:right="991" w:bottom="142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91" w:rsidRDefault="00035D91" w:rsidP="00E55709">
      <w:r>
        <w:separator/>
      </w:r>
    </w:p>
  </w:endnote>
  <w:endnote w:type="continuationSeparator" w:id="0">
    <w:p w:rsidR="00035D91" w:rsidRDefault="00035D91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91" w:rsidRDefault="00035D91" w:rsidP="00E55709">
      <w:r>
        <w:separator/>
      </w:r>
    </w:p>
  </w:footnote>
  <w:footnote w:type="continuationSeparator" w:id="0">
    <w:p w:rsidR="00035D91" w:rsidRDefault="00035D91" w:rsidP="00E55709">
      <w:r>
        <w:continuationSeparator/>
      </w:r>
    </w:p>
  </w:footnote>
  <w:footnote w:id="1">
    <w:p w:rsidR="005B031E" w:rsidRPr="009522CA" w:rsidRDefault="005B031E" w:rsidP="005B031E">
      <w:pPr>
        <w:tabs>
          <w:tab w:val="left" w:pos="9214"/>
        </w:tabs>
        <w:jc w:val="both"/>
        <w:rPr>
          <w:rFonts w:ascii="Garamond" w:hAnsi="Garamond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Należy zaznaczyć właściwy kwadrat. Zgodnie z artykułem 2 załącznika nr I do rozporządzenia Komisji (UE) nr 651/2014 z dnia 17 czerwca 2014 r.:</w:t>
      </w:r>
    </w:p>
    <w:p w:rsidR="005B031E" w:rsidRPr="009522CA" w:rsidRDefault="005B031E" w:rsidP="005B031E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9522CA">
        <w:rPr>
          <w:rFonts w:ascii="Garamond" w:hAnsi="Garamond" w:cs="Arial"/>
          <w:spacing w:val="-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5B031E" w:rsidRPr="009522CA" w:rsidRDefault="005B031E" w:rsidP="005B031E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b) w kategorii MŚP małe przedsiębiorstwo definiuje się jako przedsiębiorstwo, które zatrudnia mniej niż 50 pracowników i którego roczny obrót lub roczna suma bilansowa nie przekracza 10 milionów</w:t>
      </w:r>
      <w:r w:rsidRPr="009522CA">
        <w:rPr>
          <w:rFonts w:ascii="Garamond" w:hAnsi="Garamond" w:cs="Arial"/>
          <w:spacing w:val="-1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5B031E" w:rsidRPr="00EC58DA" w:rsidRDefault="005B031E" w:rsidP="005B031E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c) w kategorii MŚP mikroprzedsiębiorstwo definiuje się jako przedsiębiorstwo, które zatrudnia mniej niż 10 pracowników i którego roczny obrót lub roczna suma bilansowa nie przekracza 2 milionów</w:t>
      </w:r>
      <w:r w:rsidRPr="009522CA">
        <w:rPr>
          <w:rFonts w:ascii="Garamond" w:hAnsi="Garamond" w:cs="Arial"/>
          <w:spacing w:val="-12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1BA7BE1"/>
    <w:multiLevelType w:val="hybridMultilevel"/>
    <w:tmpl w:val="7DCA1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732B6E"/>
    <w:multiLevelType w:val="hybridMultilevel"/>
    <w:tmpl w:val="C9E2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9"/>
    <w:rsid w:val="00006F5E"/>
    <w:rsid w:val="00032EE6"/>
    <w:rsid w:val="00035D91"/>
    <w:rsid w:val="0013309A"/>
    <w:rsid w:val="001C6AC7"/>
    <w:rsid w:val="002A4954"/>
    <w:rsid w:val="00380914"/>
    <w:rsid w:val="003E1631"/>
    <w:rsid w:val="00524AFA"/>
    <w:rsid w:val="00564E75"/>
    <w:rsid w:val="005837FF"/>
    <w:rsid w:val="005B031E"/>
    <w:rsid w:val="005D6F4C"/>
    <w:rsid w:val="00615CE6"/>
    <w:rsid w:val="00617E43"/>
    <w:rsid w:val="006569A4"/>
    <w:rsid w:val="006B0B55"/>
    <w:rsid w:val="006B32CA"/>
    <w:rsid w:val="00735C01"/>
    <w:rsid w:val="007768DC"/>
    <w:rsid w:val="008D6799"/>
    <w:rsid w:val="00944AA8"/>
    <w:rsid w:val="00974B2C"/>
    <w:rsid w:val="009E07B0"/>
    <w:rsid w:val="00A602CC"/>
    <w:rsid w:val="00CE0AB9"/>
    <w:rsid w:val="00DB47C4"/>
    <w:rsid w:val="00E55709"/>
    <w:rsid w:val="00F31CAC"/>
    <w:rsid w:val="00F42DC0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A8A0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5z0">
    <w:name w:val="WW8Num15z0"/>
    <w:rsid w:val="009E07B0"/>
    <w:rPr>
      <w:b/>
    </w:rPr>
  </w:style>
  <w:style w:type="character" w:customStyle="1" w:styleId="Absatz-Standardschriftart">
    <w:name w:val="Absatz-Standardschriftart"/>
    <w:rsid w:val="009E07B0"/>
  </w:style>
  <w:style w:type="character" w:styleId="Hipercze">
    <w:name w:val="Hyperlink"/>
    <w:basedOn w:val="Domylnaczcionkaakapitu"/>
    <w:uiPriority w:val="99"/>
    <w:unhideWhenUsed/>
    <w:rsid w:val="00776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.php?cpu=Intel+Xeon+Silver+4208+%40+2.10GHz&amp;id=35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834A-841D-4FA6-8717-3B3F5F8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2022-03-01T11:46:00Z</dcterms:created>
  <dcterms:modified xsi:type="dcterms:W3CDTF">2022-03-01T11:59:00Z</dcterms:modified>
</cp:coreProperties>
</file>