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24" w:rsidRPr="00A32324" w:rsidRDefault="00A32324" w:rsidP="008C3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324">
        <w:rPr>
          <w:rFonts w:ascii="Times New Roman" w:hAnsi="Times New Roman" w:cs="Times New Roman"/>
          <w:b/>
          <w:sz w:val="28"/>
          <w:szCs w:val="28"/>
          <w:u w:val="single"/>
        </w:rPr>
        <w:t>Przedmiotem zamówienia jest:</w:t>
      </w:r>
    </w:p>
    <w:p w:rsidR="00014AA0" w:rsidRPr="00A32324" w:rsidRDefault="00014AA0" w:rsidP="008C3CF2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A32324">
        <w:rPr>
          <w:b/>
          <w:sz w:val="28"/>
          <w:szCs w:val="28"/>
        </w:rPr>
        <w:t>„</w:t>
      </w:r>
      <w:r w:rsidR="00A32324" w:rsidRPr="00A32324">
        <w:rPr>
          <w:b/>
          <w:sz w:val="28"/>
          <w:szCs w:val="28"/>
        </w:rPr>
        <w:t>Kompleksowa o</w:t>
      </w:r>
      <w:r w:rsidR="00A32324" w:rsidRPr="00A32324">
        <w:rPr>
          <w:b/>
          <w:bCs/>
          <w:sz w:val="28"/>
          <w:szCs w:val="28"/>
        </w:rPr>
        <w:t>bsługa bankowa</w:t>
      </w:r>
      <w:r w:rsidRPr="00A32324">
        <w:rPr>
          <w:b/>
          <w:bCs/>
          <w:sz w:val="28"/>
          <w:szCs w:val="28"/>
        </w:rPr>
        <w:t xml:space="preserve"> budżetu gminy Trzcianka, jednostek organizacyjnych i instytucji kultury</w:t>
      </w:r>
      <w:r w:rsidR="00D836C7" w:rsidRPr="00A32324">
        <w:rPr>
          <w:b/>
          <w:bCs/>
          <w:sz w:val="28"/>
          <w:szCs w:val="28"/>
        </w:rPr>
        <w:t xml:space="preserve"> na lata 2022-2023</w:t>
      </w:r>
      <w:r w:rsidRPr="00A32324">
        <w:rPr>
          <w:b/>
          <w:sz w:val="28"/>
          <w:szCs w:val="28"/>
        </w:rPr>
        <w:t>”</w:t>
      </w:r>
    </w:p>
    <w:p w:rsidR="00014AA0" w:rsidRPr="00A32324" w:rsidRDefault="00014AA0" w:rsidP="008C3CF2">
      <w:pPr>
        <w:spacing w:line="360" w:lineRule="auto"/>
        <w:ind w:left="10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32324" w:rsidRPr="00A32324" w:rsidRDefault="00A32324" w:rsidP="008C3CF2">
      <w:pPr>
        <w:spacing w:after="0" w:line="240" w:lineRule="auto"/>
        <w:ind w:left="11" w:right="51"/>
        <w:jc w:val="both"/>
        <w:rPr>
          <w:rFonts w:ascii="Times New Roman" w:hAnsi="Times New Roman" w:cs="Times New Roman"/>
          <w:sz w:val="24"/>
          <w:szCs w:val="24"/>
        </w:rPr>
      </w:pPr>
      <w:r w:rsidRPr="00A32324">
        <w:rPr>
          <w:rFonts w:ascii="Times New Roman" w:hAnsi="Times New Roman" w:cs="Times New Roman"/>
          <w:sz w:val="24"/>
          <w:szCs w:val="24"/>
        </w:rPr>
        <w:t>Przedmiot zamówienia obejmuje wykonanie bankowej obsługi budżetu gminy Trzcianka, jednostek organizacyjnych i instytucji kultury</w:t>
      </w:r>
      <w:r>
        <w:rPr>
          <w:rFonts w:ascii="Times New Roman" w:hAnsi="Times New Roman" w:cs="Times New Roman"/>
          <w:sz w:val="24"/>
          <w:szCs w:val="24"/>
        </w:rPr>
        <w:t>, obejmującej bieżącą obsługę bankową w tym:</w:t>
      </w:r>
    </w:p>
    <w:p w:rsidR="00003240" w:rsidRDefault="00003240" w:rsidP="008C3CF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 xml:space="preserve">Otwarcie i prowadzenie rachunku budżetu gminy Trzcianka, rachunków bieżących dla </w:t>
      </w:r>
      <w:r w:rsidR="00277B99">
        <w:t>U</w:t>
      </w:r>
      <w:r>
        <w:t>rzędu gminy Trzcianka, rachunków bieżących</w:t>
      </w:r>
      <w:r w:rsidR="00277B99">
        <w:t xml:space="preserve"> </w:t>
      </w:r>
      <w:r>
        <w:t>jednostek</w:t>
      </w:r>
      <w:r w:rsidR="00277B99">
        <w:t xml:space="preserve"> organizacyjnych i instytucji kultury;</w:t>
      </w:r>
    </w:p>
    <w:p w:rsidR="00277B99" w:rsidRDefault="00277B99" w:rsidP="008C3CF2">
      <w:pPr>
        <w:pStyle w:val="NormalnyWeb"/>
        <w:numPr>
          <w:ilvl w:val="0"/>
          <w:numId w:val="2"/>
        </w:numPr>
        <w:spacing w:after="0"/>
        <w:jc w:val="both"/>
      </w:pPr>
      <w:r>
        <w:t xml:space="preserve">Otwarcie i prowadzenie innych rachunków budżetu gminy Trzcianka, Urzędu gminy Trzcianka oraz jednostek organizacyjnych i instytucji kultury zgodnie z dyspozycjami wydanymi przez te jednostki, m. in. takich jak: rachunki otwarte na potrzeby projektów współfinansowanych środkami UE, rachunku zakładowego funduszu świadczeń socjalnych, rachunek sum depozytowych i innych wynikających </w:t>
      </w:r>
      <w:r w:rsidR="008C3CF2">
        <w:br/>
      </w:r>
      <w:r>
        <w:t>z przepisów prawa;</w:t>
      </w:r>
    </w:p>
    <w:p w:rsidR="00E60505" w:rsidRDefault="00E60505" w:rsidP="008C3CF2">
      <w:pPr>
        <w:pStyle w:val="NormalnyWeb"/>
        <w:numPr>
          <w:ilvl w:val="0"/>
          <w:numId w:val="2"/>
        </w:numPr>
        <w:spacing w:after="0"/>
        <w:jc w:val="both"/>
      </w:pPr>
      <w:r>
        <w:t>Otwieranie rachunków bankowych będzie następowało nie później niż następnego dnia roboczego po dniu złożenia przez Zamawiającego wniosku o otwarcie rachunku bankowego;</w:t>
      </w:r>
    </w:p>
    <w:p w:rsidR="00BE1E49" w:rsidRDefault="00BE1E49" w:rsidP="008C3CF2">
      <w:pPr>
        <w:pStyle w:val="NormalnyWeb"/>
        <w:numPr>
          <w:ilvl w:val="0"/>
          <w:numId w:val="2"/>
        </w:numPr>
        <w:spacing w:after="0"/>
        <w:jc w:val="both"/>
      </w:pPr>
      <w:r>
        <w:t>Likwidacja rachunków na wniosek Zamawiającego;</w:t>
      </w:r>
    </w:p>
    <w:p w:rsidR="00277B99" w:rsidRDefault="00277B99" w:rsidP="008C3CF2">
      <w:pPr>
        <w:pStyle w:val="NormalnyWeb"/>
        <w:numPr>
          <w:ilvl w:val="0"/>
          <w:numId w:val="2"/>
        </w:numPr>
        <w:spacing w:after="0"/>
        <w:jc w:val="both"/>
      </w:pPr>
      <w:r>
        <w:t>Zapewnienie możliwości założenia i prowadzenia rachunków walutowych w ramach rachunków pomocniczych, na których zlecenia pieniężne będą realizowane w walucie zagranicznej;</w:t>
      </w:r>
    </w:p>
    <w:p w:rsidR="00D87055" w:rsidRDefault="00D87055" w:rsidP="008C3CF2">
      <w:pPr>
        <w:pStyle w:val="NormalnyWeb"/>
        <w:numPr>
          <w:ilvl w:val="0"/>
          <w:numId w:val="2"/>
        </w:numPr>
        <w:spacing w:after="0"/>
        <w:jc w:val="both"/>
      </w:pPr>
      <w:r>
        <w:t>Wykonawca nie będzie pobierał opłat za otwarcie i zamknięcie rachunku bankowego;</w:t>
      </w:r>
    </w:p>
    <w:p w:rsidR="00277B99" w:rsidRDefault="00761AFC" w:rsidP="008C3CF2">
      <w:pPr>
        <w:pStyle w:val="NormalnyWeb"/>
        <w:numPr>
          <w:ilvl w:val="0"/>
          <w:numId w:val="2"/>
        </w:numPr>
        <w:spacing w:after="0"/>
        <w:jc w:val="both"/>
      </w:pPr>
      <w:r>
        <w:t>Zapewnienie bezpłatnego dostępu do systemu bankowości elektronicznej, jednolitego do obsługi wszystkich rachunków Zamawiającego, spełniającego standardy bezpiecznej komunikacji;</w:t>
      </w:r>
    </w:p>
    <w:p w:rsidR="00154D70" w:rsidRDefault="00154D70" w:rsidP="008C3CF2">
      <w:pPr>
        <w:pStyle w:val="NormalnyWeb"/>
        <w:numPr>
          <w:ilvl w:val="0"/>
          <w:numId w:val="2"/>
        </w:numPr>
        <w:spacing w:after="0"/>
        <w:jc w:val="both"/>
      </w:pPr>
      <w:r>
        <w:t>Udostępnienie w systemie bankowości elektronicznej funkcjonalności weryfikacji rachunków kontrahentów z wykazem podmiotów VAT (biała lista VAT);</w:t>
      </w:r>
    </w:p>
    <w:p w:rsidR="00761AFC" w:rsidRDefault="00761AFC" w:rsidP="008C3CF2">
      <w:pPr>
        <w:pStyle w:val="NormalnyWeb"/>
        <w:numPr>
          <w:ilvl w:val="0"/>
          <w:numId w:val="2"/>
        </w:numPr>
        <w:spacing w:after="0"/>
        <w:jc w:val="both"/>
      </w:pPr>
      <w:r>
        <w:t xml:space="preserve">Obsługa </w:t>
      </w:r>
      <w:r w:rsidR="0057725D">
        <w:t xml:space="preserve">systemu identyfikacji </w:t>
      </w:r>
      <w:r>
        <w:t xml:space="preserve">płatności masowych-system </w:t>
      </w:r>
      <w:r w:rsidR="0089757B">
        <w:t xml:space="preserve">wirtualnych rachunków </w:t>
      </w:r>
      <w:proofErr w:type="spellStart"/>
      <w:r w:rsidR="0089757B">
        <w:t>kontrahenckich</w:t>
      </w:r>
      <w:proofErr w:type="spellEnd"/>
      <w:r>
        <w:t>;</w:t>
      </w:r>
    </w:p>
    <w:p w:rsidR="00154D70" w:rsidRDefault="00FA72B7" w:rsidP="00F747F3">
      <w:pPr>
        <w:pStyle w:val="NormalnyWeb"/>
        <w:numPr>
          <w:ilvl w:val="0"/>
          <w:numId w:val="2"/>
        </w:numPr>
        <w:spacing w:after="0"/>
        <w:jc w:val="both"/>
      </w:pPr>
      <w:r>
        <w:t xml:space="preserve">Uruchomienie usługi </w:t>
      </w:r>
      <w:proofErr w:type="spellStart"/>
      <w:r>
        <w:t>autowypłaty</w:t>
      </w:r>
      <w:proofErr w:type="spellEnd"/>
      <w:r>
        <w:t xml:space="preserve"> (</w:t>
      </w:r>
      <w:r w:rsidR="00B91F45">
        <w:rPr>
          <w:rFonts w:ascii="Arial" w:hAnsi="Arial" w:cs="Arial"/>
          <w:color w:val="202124"/>
          <w:shd w:val="clear" w:color="auto" w:fill="FFFFFF"/>
        </w:rPr>
        <w:t> </w:t>
      </w:r>
      <w:r w:rsidR="00B91F45" w:rsidRPr="00B91F45">
        <w:rPr>
          <w:color w:val="202124"/>
          <w:shd w:val="clear" w:color="auto" w:fill="FFFFFF"/>
        </w:rPr>
        <w:t>dostępna za pomocą bankowości elektronicznej, dająca możliwość złożenia zlecenia jednorazowej wypłaty w kasie jednostki </w:t>
      </w:r>
      <w:r w:rsidR="00B91F45">
        <w:rPr>
          <w:bCs/>
          <w:color w:val="202124"/>
          <w:shd w:val="clear" w:color="auto" w:fill="FFFFFF"/>
        </w:rPr>
        <w:t>b</w:t>
      </w:r>
      <w:r w:rsidR="00B91F45" w:rsidRPr="00B91F45">
        <w:rPr>
          <w:bCs/>
          <w:color w:val="202124"/>
          <w:shd w:val="clear" w:color="auto" w:fill="FFFFFF"/>
        </w:rPr>
        <w:t>anku</w:t>
      </w:r>
      <w:r w:rsidR="00B91F45" w:rsidRPr="00B91F45">
        <w:rPr>
          <w:color w:val="202124"/>
          <w:shd w:val="clear" w:color="auto" w:fill="FFFFFF"/>
        </w:rPr>
        <w:t>.</w:t>
      </w:r>
      <w:r>
        <w:t>);</w:t>
      </w:r>
    </w:p>
    <w:p w:rsidR="00761AFC" w:rsidRDefault="00761AFC" w:rsidP="00F747F3">
      <w:pPr>
        <w:pStyle w:val="NormalnyWeb"/>
        <w:numPr>
          <w:ilvl w:val="0"/>
          <w:numId w:val="2"/>
        </w:numPr>
        <w:spacing w:after="0"/>
        <w:jc w:val="both"/>
      </w:pPr>
      <w:r>
        <w:t>Realizowanie operacji bankowych we wszystkich trybach (zwykłym, pilnym, ekspresowym) i systemach( ELIXIR, SORBNET, SWIFT i innych);</w:t>
      </w:r>
    </w:p>
    <w:p w:rsidR="00B92BBD" w:rsidRDefault="001C276F" w:rsidP="00F747F3">
      <w:pPr>
        <w:pStyle w:val="NormalnyWeb"/>
        <w:numPr>
          <w:ilvl w:val="0"/>
          <w:numId w:val="2"/>
        </w:numPr>
        <w:spacing w:after="0"/>
        <w:jc w:val="both"/>
      </w:pPr>
      <w:r>
        <w:t xml:space="preserve">Udzielenie Zamawiającemu w każdym roku odnawialnego </w:t>
      </w:r>
      <w:r w:rsidR="007E14AB">
        <w:t>kredytu</w:t>
      </w:r>
      <w:r w:rsidR="00B92BBD">
        <w:t xml:space="preserve"> </w:t>
      </w:r>
      <w:r w:rsidR="0089757B">
        <w:t>w rachunku bieżącym budżetu gminy Trzcianka</w:t>
      </w:r>
      <w:r w:rsidR="007E14AB">
        <w:t xml:space="preserve"> na pokrycie występującego w trakcie roku przejściowego deficytu budżetowego do wysokości określonej corocznie w uchwale budżetowej</w:t>
      </w:r>
      <w:r w:rsidR="00416DAD">
        <w:t>, tj. w kwocie nieprzekraczającej 5 000 000,00 zł</w:t>
      </w:r>
      <w:r w:rsidR="00AD22C2">
        <w:t>:</w:t>
      </w:r>
      <w:r w:rsidR="0089757B">
        <w:t xml:space="preserve"> </w:t>
      </w:r>
    </w:p>
    <w:p w:rsidR="001B09E7" w:rsidRDefault="001B09E7" w:rsidP="00F747F3">
      <w:pPr>
        <w:pStyle w:val="NormalnyWeb"/>
        <w:numPr>
          <w:ilvl w:val="1"/>
          <w:numId w:val="2"/>
        </w:numPr>
        <w:spacing w:after="0"/>
        <w:jc w:val="both"/>
      </w:pPr>
      <w:r>
        <w:t>Kredyt krótkoterminowy będzie uruchomiony na podstawie odrębnej umowy</w:t>
      </w:r>
      <w:r w:rsidR="008C3CF2">
        <w:br/>
      </w:r>
      <w:r>
        <w:t xml:space="preserve"> i będzie podlegał spłacie nie później niż 31 grudnia  roku</w:t>
      </w:r>
      <w:r w:rsidR="00027448">
        <w:t xml:space="preserve"> trwania umowy</w:t>
      </w:r>
      <w:r>
        <w:t>,</w:t>
      </w:r>
    </w:p>
    <w:p w:rsidR="001B09E7" w:rsidRDefault="001B09E7" w:rsidP="00F747F3">
      <w:pPr>
        <w:pStyle w:val="NormalnyWeb"/>
        <w:numPr>
          <w:ilvl w:val="1"/>
          <w:numId w:val="2"/>
        </w:numPr>
        <w:spacing w:after="0"/>
        <w:jc w:val="both"/>
      </w:pPr>
      <w:r>
        <w:t xml:space="preserve">Zamawiający nie przewiduje ponoszenia innych kosztów kredytu niż jego oprocentowanie. Wysokość oprocentowania wyznaczona będzie co miesiąc </w:t>
      </w:r>
      <w:r w:rsidR="008C3CF2">
        <w:br/>
      </w:r>
      <w:r>
        <w:t>wg stawki WIBOR 1M z miesiąca poprzedzającego dzień ustalenia oprocentowania powiększonego o marżę Banku określoną w ofercie (umowie),</w:t>
      </w:r>
    </w:p>
    <w:p w:rsidR="001B09E7" w:rsidRDefault="001B09E7" w:rsidP="00F747F3">
      <w:pPr>
        <w:pStyle w:val="NormalnyWeb"/>
        <w:numPr>
          <w:ilvl w:val="1"/>
          <w:numId w:val="2"/>
        </w:numPr>
        <w:spacing w:after="0"/>
        <w:jc w:val="both"/>
      </w:pPr>
      <w:r>
        <w:t>Odsetki będą pobierane od faktycznego wykorzystania kredytu.</w:t>
      </w:r>
    </w:p>
    <w:p w:rsidR="00AB178E" w:rsidRDefault="00AB178E" w:rsidP="00F747F3">
      <w:pPr>
        <w:pStyle w:val="NormalnyWeb"/>
        <w:numPr>
          <w:ilvl w:val="0"/>
          <w:numId w:val="2"/>
        </w:numPr>
        <w:spacing w:after="0"/>
        <w:jc w:val="both"/>
      </w:pPr>
      <w:r>
        <w:lastRenderedPageBreak/>
        <w:t xml:space="preserve">Wykonawca musi dysponować siedzibą centrali, oddziałem, filią lub punktem kasowym w </w:t>
      </w:r>
      <w:r w:rsidR="00381EC8">
        <w:t>Trzciance;</w:t>
      </w:r>
    </w:p>
    <w:p w:rsidR="00761AFC" w:rsidRDefault="00761AFC" w:rsidP="00F747F3">
      <w:pPr>
        <w:pStyle w:val="NormalnyWeb"/>
        <w:numPr>
          <w:ilvl w:val="0"/>
          <w:numId w:val="2"/>
        </w:numPr>
        <w:spacing w:after="0"/>
        <w:jc w:val="both"/>
      </w:pPr>
      <w:r>
        <w:t>Przyjmowanie wpłat gotówkowych;</w:t>
      </w:r>
    </w:p>
    <w:p w:rsidR="00761AFC" w:rsidRDefault="00761AFC" w:rsidP="00F747F3">
      <w:pPr>
        <w:pStyle w:val="NormalnyWeb"/>
        <w:numPr>
          <w:ilvl w:val="0"/>
          <w:numId w:val="2"/>
        </w:numPr>
        <w:spacing w:after="0"/>
        <w:jc w:val="both"/>
      </w:pPr>
      <w:r>
        <w:t>Dokonywanie wypłat gotówkowych;</w:t>
      </w:r>
    </w:p>
    <w:p w:rsidR="00761AFC" w:rsidRDefault="006B1675" w:rsidP="00F747F3">
      <w:pPr>
        <w:pStyle w:val="NormalnyWeb"/>
        <w:numPr>
          <w:ilvl w:val="0"/>
          <w:numId w:val="2"/>
        </w:numPr>
        <w:spacing w:after="0"/>
        <w:jc w:val="both"/>
      </w:pPr>
      <w:r>
        <w:t>Wydawanie blankietów czekowych;</w:t>
      </w:r>
    </w:p>
    <w:p w:rsidR="008C3CF2" w:rsidRDefault="008C3CF2" w:rsidP="00F747F3">
      <w:pPr>
        <w:pStyle w:val="NormalnyWeb"/>
        <w:numPr>
          <w:ilvl w:val="0"/>
          <w:numId w:val="2"/>
        </w:numPr>
        <w:spacing w:after="0"/>
        <w:jc w:val="both"/>
      </w:pPr>
      <w:r>
        <w:t xml:space="preserve">Wydawanie i obsługę </w:t>
      </w:r>
      <w:r w:rsidR="00F747F3">
        <w:t>spersonalizowanych kart płatniczych /obciążeniowych przypisanych do wyodrębnionego rachunku bankowego;</w:t>
      </w:r>
    </w:p>
    <w:p w:rsidR="00B91F45" w:rsidRDefault="006B1675" w:rsidP="00F747F3">
      <w:pPr>
        <w:pStyle w:val="NormalnyWeb"/>
        <w:numPr>
          <w:ilvl w:val="0"/>
          <w:numId w:val="2"/>
        </w:numPr>
        <w:spacing w:after="0"/>
        <w:jc w:val="both"/>
      </w:pPr>
      <w:r>
        <w:t>Wydawanie opinii, zaświadczeń;</w:t>
      </w:r>
    </w:p>
    <w:p w:rsidR="006B1675" w:rsidRDefault="006B1675" w:rsidP="00F747F3">
      <w:pPr>
        <w:pStyle w:val="NormalnyWeb"/>
        <w:numPr>
          <w:ilvl w:val="0"/>
          <w:numId w:val="2"/>
        </w:numPr>
        <w:spacing w:after="0"/>
        <w:jc w:val="both"/>
      </w:pPr>
      <w:r>
        <w:t>Przyjmowanie lokat krótkoterminowych (jednodniowych, weekendowych, tygodniowych, dwutygodniowych, miesięcznych);</w:t>
      </w:r>
    </w:p>
    <w:p w:rsidR="006B1675" w:rsidRDefault="006B1675" w:rsidP="00F747F3">
      <w:pPr>
        <w:pStyle w:val="NormalnyWeb"/>
        <w:numPr>
          <w:ilvl w:val="0"/>
          <w:numId w:val="2"/>
        </w:numPr>
        <w:spacing w:after="0"/>
        <w:jc w:val="both"/>
      </w:pPr>
      <w:r>
        <w:t>Przechowywanie środków pieniężnych na oprocentowanym rachunku budżetu i rachunkach bieżących;</w:t>
      </w:r>
    </w:p>
    <w:p w:rsidR="001877CC" w:rsidRDefault="001877CC" w:rsidP="00F747F3">
      <w:pPr>
        <w:pStyle w:val="NormalnyWeb"/>
        <w:numPr>
          <w:ilvl w:val="0"/>
          <w:numId w:val="2"/>
        </w:numPr>
        <w:spacing w:after="0"/>
        <w:jc w:val="both"/>
      </w:pPr>
      <w:r>
        <w:t>Zapewnienie wsparcia w bieżącej obsłudze systemu bankowości elektronicznej telefonicznie lub poprzez wizytę odpowiedniego specjalisty w siedzibie Zamawiającego.</w:t>
      </w:r>
    </w:p>
    <w:p w:rsidR="002A4B91" w:rsidRDefault="00563322" w:rsidP="00F747F3">
      <w:pPr>
        <w:pStyle w:val="NormalnyWeb"/>
        <w:numPr>
          <w:ilvl w:val="0"/>
          <w:numId w:val="2"/>
        </w:numPr>
        <w:spacing w:after="0"/>
        <w:jc w:val="both"/>
      </w:pPr>
      <w:r>
        <w:t>Wykonawca gwarantuje przedłużenie umowy na obsługę bankową</w:t>
      </w:r>
      <w:r w:rsidR="00E52DF4">
        <w:t xml:space="preserve"> budżetu gminy Trzcianka</w:t>
      </w:r>
      <w:r>
        <w:t xml:space="preserve"> do czasu wyboru nowego banku.</w:t>
      </w:r>
    </w:p>
    <w:p w:rsidR="000C33EB" w:rsidRDefault="000C33EB" w:rsidP="00F747F3">
      <w:pPr>
        <w:pStyle w:val="NormalnyWeb"/>
        <w:numPr>
          <w:ilvl w:val="0"/>
          <w:numId w:val="2"/>
        </w:numPr>
        <w:spacing w:after="0"/>
        <w:jc w:val="both"/>
      </w:pPr>
      <w:r>
        <w:t>Zamówieniem niniejszym są objęte następujące jednostki organizacyjne gminy Trzcianka</w:t>
      </w:r>
      <w:r w:rsidR="00BD0C7C">
        <w:t xml:space="preserve"> i instytucje kultury</w:t>
      </w:r>
      <w:r>
        <w:t>: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Gmina Trzcianka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Gminne Przedszkole Nr 1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Gminne Przedszkole Nr 2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Gminne Przedszkole Nr 3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Gminne Przedszkole Nr 4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Gminne Przedszkole w Siedlisku</w:t>
      </w:r>
      <w:r w:rsidR="00BD0C7C">
        <w:t>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 xml:space="preserve">Szkoła Podstawowa Nr 1 </w:t>
      </w:r>
      <w:r w:rsidR="00BD0C7C">
        <w:t>im. Juliusza</w:t>
      </w:r>
      <w:r>
        <w:t xml:space="preserve"> Słowackiego</w:t>
      </w:r>
      <w:r w:rsidR="00BD0C7C">
        <w:t xml:space="preserve"> w Trzciance;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Szkoła Podstawowa Nr 2 im. W. Broniewskiego</w:t>
      </w:r>
      <w:r w:rsidR="00027448">
        <w:t xml:space="preserve"> w Trzciance</w:t>
      </w:r>
      <w:r w:rsidR="00BD0C7C">
        <w:t>;</w:t>
      </w:r>
    </w:p>
    <w:p w:rsidR="000C33EB" w:rsidRDefault="00BD0C7C" w:rsidP="00F747F3">
      <w:pPr>
        <w:pStyle w:val="NormalnyWeb"/>
        <w:numPr>
          <w:ilvl w:val="2"/>
          <w:numId w:val="3"/>
        </w:numPr>
        <w:spacing w:after="0"/>
        <w:jc w:val="both"/>
      </w:pPr>
      <w:r>
        <w:t>Szkoła Podstawowa Nr 3 im. Mikołaja</w:t>
      </w:r>
      <w:r w:rsidR="000C33EB">
        <w:t xml:space="preserve"> Kopernika </w:t>
      </w:r>
      <w:r>
        <w:t>w Trzciance;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Szkoła Podstawowa im. Ppor. Alfreda Sofki w Białej</w:t>
      </w:r>
      <w:r w:rsidR="00BD0C7C">
        <w:t>;</w:t>
      </w:r>
    </w:p>
    <w:p w:rsidR="000C33EB" w:rsidRDefault="004B1563" w:rsidP="00F747F3">
      <w:pPr>
        <w:pStyle w:val="NormalnyWeb"/>
        <w:numPr>
          <w:ilvl w:val="2"/>
          <w:numId w:val="3"/>
        </w:numPr>
        <w:spacing w:after="0"/>
        <w:jc w:val="both"/>
      </w:pPr>
      <w:r>
        <w:t>Szkoła Podstawowa</w:t>
      </w:r>
      <w:r w:rsidR="00BD0C7C">
        <w:t xml:space="preserve"> im. Miłośników Przyrody</w:t>
      </w:r>
      <w:r w:rsidR="000C33EB">
        <w:t xml:space="preserve"> w Siedlisku</w:t>
      </w:r>
      <w:r w:rsidR="00BD0C7C">
        <w:t>;</w:t>
      </w:r>
      <w:r>
        <w:t xml:space="preserve"> 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Szkoła Podstawowa im. H. Sienkiewicza w Łomnicy</w:t>
      </w:r>
      <w:r w:rsidR="00BD0C7C">
        <w:t>;</w:t>
      </w:r>
    </w:p>
    <w:p w:rsidR="00826873" w:rsidRDefault="00826873" w:rsidP="00F747F3">
      <w:pPr>
        <w:pStyle w:val="NormalnyWeb"/>
        <w:numPr>
          <w:ilvl w:val="2"/>
          <w:numId w:val="3"/>
        </w:numPr>
        <w:spacing w:after="0"/>
        <w:jc w:val="both"/>
      </w:pPr>
      <w:r>
        <w:t>Centrum Usług Społecznych w Trzciance;</w:t>
      </w:r>
    </w:p>
    <w:p w:rsidR="000C33EB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Biblioteka Publiczna i Centrum Kultury im. Kazimiery Iłłakowiczówny</w:t>
      </w:r>
      <w:r w:rsidR="00BD0C7C">
        <w:t>;</w:t>
      </w:r>
    </w:p>
    <w:p w:rsidR="00BE1E49" w:rsidRDefault="000C33EB" w:rsidP="00F747F3">
      <w:pPr>
        <w:pStyle w:val="NormalnyWeb"/>
        <w:numPr>
          <w:ilvl w:val="2"/>
          <w:numId w:val="3"/>
        </w:numPr>
        <w:spacing w:after="0"/>
        <w:jc w:val="both"/>
      </w:pPr>
      <w:r>
        <w:t>Muzeum Ziemi Nadnoteckiej im. Wiktora Stachowiaka</w:t>
      </w:r>
      <w:r w:rsidR="00826873">
        <w:t>.</w:t>
      </w:r>
    </w:p>
    <w:p w:rsidR="00BE1E49" w:rsidRDefault="00BE1E49" w:rsidP="00F747F3">
      <w:pPr>
        <w:pStyle w:val="NormalnyWeb"/>
        <w:spacing w:after="0"/>
        <w:jc w:val="both"/>
      </w:pPr>
      <w:r>
        <w:t>Liczba jednostek w następstwie zmian organizacyjnych, może ulec zmianie. W przypadku powołania nowych jednostek bądź wyodrębnienia nowych rachunków bankowych obsługa bankowa będzie prowadzona na warunkach zgodnych z ofertą Wykonawcy oraz zawartą umową bez konieczności jej zmian.</w:t>
      </w:r>
    </w:p>
    <w:p w:rsidR="000C33EB" w:rsidRDefault="000C33EB" w:rsidP="00F747F3">
      <w:pPr>
        <w:pStyle w:val="NormalnyWeb"/>
        <w:spacing w:after="0"/>
        <w:jc w:val="both"/>
      </w:pPr>
    </w:p>
    <w:p w:rsidR="000C33EB" w:rsidRDefault="00E52DF4" w:rsidP="00F747F3">
      <w:pPr>
        <w:pStyle w:val="NormalnyWeb"/>
        <w:numPr>
          <w:ilvl w:val="0"/>
          <w:numId w:val="4"/>
        </w:numPr>
        <w:spacing w:after="0"/>
        <w:jc w:val="both"/>
      </w:pPr>
      <w:bookmarkStart w:id="0" w:name="b_results"/>
      <w:bookmarkEnd w:id="0"/>
      <w:r>
        <w:t>Materiały dotyczą</w:t>
      </w:r>
      <w:r w:rsidR="000C33EB">
        <w:t>ce budżetu gminy Trzcianka i sprawozdawczości zamieszczone są na stronie Biuletynu Informacji Publicznej Miasta i Gminy Trzcianka http://</w:t>
      </w:r>
      <w:r w:rsidR="000C33EB">
        <w:rPr>
          <w:rStyle w:val="HTML-cytat"/>
        </w:rPr>
        <w:t>www.</w:t>
      </w:r>
      <w:r w:rsidR="000C33EB">
        <w:rPr>
          <w:rStyle w:val="Pogrubienie"/>
        </w:rPr>
        <w:t>bip.trzcianka</w:t>
      </w:r>
      <w:r w:rsidR="000C33EB">
        <w:rPr>
          <w:rStyle w:val="HTML-cytat"/>
        </w:rPr>
        <w:t>.pl</w:t>
      </w:r>
    </w:p>
    <w:p w:rsidR="000C33EB" w:rsidRDefault="000C33EB" w:rsidP="00F747F3">
      <w:pPr>
        <w:pStyle w:val="NormalnyWeb"/>
        <w:spacing w:after="0"/>
        <w:jc w:val="both"/>
      </w:pPr>
    </w:p>
    <w:p w:rsidR="005A6A6D" w:rsidRDefault="005A6A6D" w:rsidP="00F747F3">
      <w:pPr>
        <w:pStyle w:val="NormalnyWeb"/>
        <w:spacing w:after="0"/>
        <w:jc w:val="both"/>
      </w:pPr>
      <w:r>
        <w:rPr>
          <w:b/>
          <w:bCs/>
        </w:rPr>
        <w:lastRenderedPageBreak/>
        <w:t>Do wyliczenia kosztów obsługi rachunków należy przyjąć:</w:t>
      </w:r>
    </w:p>
    <w:p w:rsidR="005A6A6D" w:rsidRDefault="005A6A6D" w:rsidP="00F747F3">
      <w:pPr>
        <w:pStyle w:val="NormalnyWeb"/>
        <w:numPr>
          <w:ilvl w:val="0"/>
          <w:numId w:val="7"/>
        </w:numPr>
        <w:spacing w:after="0"/>
        <w:jc w:val="both"/>
      </w:pPr>
      <w:r>
        <w:t xml:space="preserve">Realizacja poleceń przelewów w formie elektronicznej – szacowane </w:t>
      </w:r>
      <w:r w:rsidR="00CB111D">
        <w:t>10 000</w:t>
      </w:r>
      <w:r>
        <w:t xml:space="preserve"> sztuk miesięcznie</w:t>
      </w:r>
      <w:r w:rsidR="0057725D">
        <w:t>;</w:t>
      </w:r>
    </w:p>
    <w:p w:rsidR="000C33EB" w:rsidRDefault="005A6A6D" w:rsidP="00F747F3">
      <w:pPr>
        <w:pStyle w:val="NormalnyWeb"/>
        <w:numPr>
          <w:ilvl w:val="0"/>
          <w:numId w:val="7"/>
        </w:numPr>
        <w:spacing w:after="0"/>
        <w:jc w:val="both"/>
      </w:pPr>
      <w:r>
        <w:t>Wdrożenie i obsługa systemu identyfikacji płatności masowych – szacowana liczba</w:t>
      </w:r>
      <w:r w:rsidR="0057725D">
        <w:t xml:space="preserve"> wirtualnych</w:t>
      </w:r>
      <w:r>
        <w:t xml:space="preserve"> rachunków </w:t>
      </w:r>
      <w:r w:rsidR="00CC7F18">
        <w:t>11 </w:t>
      </w:r>
      <w:r w:rsidR="00450126">
        <w:t>300</w:t>
      </w:r>
      <w:r w:rsidR="00CC7F18">
        <w:t xml:space="preserve"> sztuk.</w:t>
      </w:r>
      <w:r>
        <w:t xml:space="preserve"> </w:t>
      </w:r>
    </w:p>
    <w:p w:rsidR="00E618A9" w:rsidRDefault="00E618A9" w:rsidP="00F747F3">
      <w:pPr>
        <w:pStyle w:val="NormalnyWeb"/>
        <w:numPr>
          <w:ilvl w:val="0"/>
          <w:numId w:val="7"/>
        </w:numPr>
        <w:spacing w:after="0"/>
        <w:jc w:val="both"/>
      </w:pPr>
    </w:p>
    <w:p w:rsidR="000C33EB" w:rsidRDefault="005A6A6D" w:rsidP="00F747F3">
      <w:pPr>
        <w:pStyle w:val="NormalnyWeb"/>
        <w:spacing w:after="0"/>
        <w:jc w:val="both"/>
      </w:pPr>
      <w:r>
        <w:rPr>
          <w:b/>
          <w:bCs/>
        </w:rPr>
        <w:t>Kryteria oceny ofert:</w:t>
      </w:r>
    </w:p>
    <w:p w:rsidR="0021458F" w:rsidRDefault="0057725D" w:rsidP="00F747F3">
      <w:pPr>
        <w:pStyle w:val="NormalnyWeb"/>
        <w:numPr>
          <w:ilvl w:val="0"/>
          <w:numId w:val="5"/>
        </w:numPr>
        <w:spacing w:after="0"/>
        <w:jc w:val="both"/>
      </w:pPr>
      <w:r>
        <w:t>Przy dokonywaniu wyboru najkorzystniejszej oferty Zamawiający będzie kierował się następującymi kryteriami i wagami:</w:t>
      </w:r>
    </w:p>
    <w:p w:rsidR="0057725D" w:rsidRDefault="0057725D" w:rsidP="00F747F3">
      <w:pPr>
        <w:pStyle w:val="NormalnyWeb"/>
        <w:numPr>
          <w:ilvl w:val="1"/>
          <w:numId w:val="2"/>
        </w:numPr>
        <w:spacing w:after="0"/>
        <w:jc w:val="both"/>
      </w:pPr>
      <w:r>
        <w:t>Miesięczny koszt za prowadzenie rachunku, który obejmuje wszystkie opłaty za obsługę rachunku i op</w:t>
      </w:r>
      <w:r w:rsidR="00D25FB8">
        <w:t>eracje bankowe rachunku –waga 95</w:t>
      </w:r>
      <w:r>
        <w:t>%;</w:t>
      </w:r>
    </w:p>
    <w:p w:rsidR="0057725D" w:rsidRDefault="0057725D" w:rsidP="00F747F3">
      <w:pPr>
        <w:pStyle w:val="NormalnyWeb"/>
        <w:numPr>
          <w:ilvl w:val="1"/>
          <w:numId w:val="2"/>
        </w:numPr>
        <w:spacing w:after="0"/>
        <w:jc w:val="both"/>
      </w:pPr>
      <w:r>
        <w:t>Wysokość oprocentowania kred</w:t>
      </w:r>
      <w:r w:rsidR="00D25FB8">
        <w:t>ytu w rachunku bieżącym –waga 5</w:t>
      </w:r>
      <w:r>
        <w:t>%</w:t>
      </w:r>
    </w:p>
    <w:p w:rsidR="0057725D" w:rsidRDefault="0057725D" w:rsidP="00F747F3">
      <w:pPr>
        <w:pStyle w:val="NormalnyWeb"/>
        <w:numPr>
          <w:ilvl w:val="0"/>
          <w:numId w:val="5"/>
        </w:numPr>
        <w:spacing w:after="0"/>
        <w:jc w:val="both"/>
      </w:pPr>
      <w:r>
        <w:t xml:space="preserve">Zamawiający dokona oceny ofert przyznając </w:t>
      </w:r>
      <w:r w:rsidR="00B21E25">
        <w:t xml:space="preserve">punkty w ramach poszczególnych kryteriów oceny ofert, przyjmując </w:t>
      </w:r>
      <w:r>
        <w:t>zasadę, że 1 %=1 punkt</w:t>
      </w:r>
      <w:r w:rsidR="00B21E25">
        <w:t>;</w:t>
      </w:r>
    </w:p>
    <w:p w:rsidR="00B21E25" w:rsidRDefault="00B21E25" w:rsidP="00F747F3">
      <w:pPr>
        <w:pStyle w:val="NormalnyWeb"/>
        <w:numPr>
          <w:ilvl w:val="0"/>
          <w:numId w:val="5"/>
        </w:numPr>
        <w:spacing w:after="0"/>
        <w:jc w:val="both"/>
      </w:pPr>
      <w:r>
        <w:t xml:space="preserve">Punkty przyznawane za kryterium </w:t>
      </w:r>
      <w:r w:rsidRPr="00B21E25">
        <w:rPr>
          <w:b/>
        </w:rPr>
        <w:t>„Miesięczny koszt za prowadzenie rachunku</w:t>
      </w:r>
      <w:r>
        <w:t>” będą liczone według następującego wzoru:</w:t>
      </w:r>
    </w:p>
    <w:p w:rsidR="00B21E25" w:rsidRDefault="00B21E25" w:rsidP="00F747F3">
      <w:pPr>
        <w:pStyle w:val="NormalnyWeb"/>
        <w:spacing w:after="0"/>
        <w:ind w:left="720"/>
        <w:jc w:val="both"/>
        <w:rPr>
          <w:b/>
        </w:rPr>
      </w:pPr>
      <w:r w:rsidRPr="00B21E25">
        <w:rPr>
          <w:b/>
        </w:rPr>
        <w:t>Miesięczny koszt za prowa</w:t>
      </w:r>
      <w:r w:rsidR="00D25FB8">
        <w:rPr>
          <w:b/>
        </w:rPr>
        <w:t>dzenie rachunku= (K)= (</w:t>
      </w:r>
      <w:proofErr w:type="spellStart"/>
      <w:r w:rsidR="00D25FB8">
        <w:rPr>
          <w:b/>
        </w:rPr>
        <w:t>Kn/K</w:t>
      </w:r>
      <w:proofErr w:type="spellEnd"/>
      <w:r w:rsidR="00D25FB8">
        <w:rPr>
          <w:b/>
        </w:rPr>
        <w:t>b)x 100</w:t>
      </w:r>
      <w:r w:rsidRPr="00B21E25">
        <w:rPr>
          <w:b/>
        </w:rPr>
        <w:t xml:space="preserve"> </w:t>
      </w:r>
      <w:proofErr w:type="spellStart"/>
      <w:r w:rsidRPr="00B21E25">
        <w:rPr>
          <w:b/>
        </w:rPr>
        <w:t>pkt</w:t>
      </w:r>
      <w:proofErr w:type="spellEnd"/>
      <w:r w:rsidR="00D25FB8">
        <w:rPr>
          <w:b/>
        </w:rPr>
        <w:t xml:space="preserve"> x 95%</w:t>
      </w:r>
    </w:p>
    <w:p w:rsidR="00B21E25" w:rsidRDefault="00043575" w:rsidP="00F747F3">
      <w:pPr>
        <w:pStyle w:val="NormalnyWeb"/>
        <w:spacing w:after="0"/>
        <w:ind w:left="720"/>
        <w:jc w:val="both"/>
      </w:pPr>
      <w:r>
        <w:t>K -ilość punktów przyznana danej ofercie w kryterium „</w:t>
      </w:r>
      <w:r w:rsidRPr="00B21E25">
        <w:rPr>
          <w:b/>
        </w:rPr>
        <w:t xml:space="preserve">Miesięczny koszt </w:t>
      </w:r>
      <w:r w:rsidR="00F747F3">
        <w:rPr>
          <w:b/>
        </w:rPr>
        <w:br/>
      </w:r>
      <w:r w:rsidRPr="00B21E25">
        <w:rPr>
          <w:b/>
        </w:rPr>
        <w:t>za prowadzenie rachunku</w:t>
      </w:r>
      <w:r>
        <w:t>”;</w:t>
      </w:r>
    </w:p>
    <w:p w:rsidR="00043575" w:rsidRDefault="00043575" w:rsidP="00F747F3">
      <w:pPr>
        <w:pStyle w:val="NormalnyWeb"/>
        <w:spacing w:after="0"/>
        <w:ind w:left="720"/>
        <w:jc w:val="both"/>
      </w:pPr>
      <w:proofErr w:type="spellStart"/>
      <w:r>
        <w:t>K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- </w:t>
      </w:r>
      <w:r w:rsidRPr="00043575">
        <w:t>najniższy miesięczny koszt za prowadzenie rachunku;</w:t>
      </w:r>
    </w:p>
    <w:p w:rsidR="00043575" w:rsidRDefault="00043575" w:rsidP="00F747F3">
      <w:pPr>
        <w:pStyle w:val="NormalnyWeb"/>
        <w:spacing w:after="0"/>
        <w:ind w:left="720"/>
        <w:jc w:val="both"/>
      </w:pPr>
      <w:proofErr w:type="spellStart"/>
      <w:r>
        <w:t>K</w:t>
      </w:r>
      <w:r>
        <w:rPr>
          <w:vertAlign w:val="subscript"/>
        </w:rPr>
        <w:t>b</w:t>
      </w:r>
      <w:proofErr w:type="spellEnd"/>
      <w:r>
        <w:t>- koszt za prowadzenie rachunku oferty badanej.</w:t>
      </w:r>
    </w:p>
    <w:p w:rsidR="00043575" w:rsidRDefault="00043575" w:rsidP="00F747F3">
      <w:pPr>
        <w:pStyle w:val="NormalnyWeb"/>
        <w:numPr>
          <w:ilvl w:val="0"/>
          <w:numId w:val="5"/>
        </w:numPr>
        <w:spacing w:after="0"/>
        <w:jc w:val="both"/>
      </w:pPr>
      <w:r>
        <w:t xml:space="preserve">Punkty przyznawane za kryterium </w:t>
      </w:r>
      <w:r w:rsidR="008E3B41" w:rsidRPr="008E3B41">
        <w:rPr>
          <w:b/>
        </w:rPr>
        <w:t>„Wysokość oprocentowania kredytu</w:t>
      </w:r>
      <w:r w:rsidR="00F747F3">
        <w:rPr>
          <w:b/>
        </w:rPr>
        <w:br/>
      </w:r>
      <w:r w:rsidR="008E3B41" w:rsidRPr="008E3B41">
        <w:rPr>
          <w:b/>
        </w:rPr>
        <w:t xml:space="preserve"> w rachunku bieżącym”</w:t>
      </w:r>
      <w:r w:rsidR="008E3B41">
        <w:rPr>
          <w:b/>
        </w:rPr>
        <w:t xml:space="preserve"> </w:t>
      </w:r>
      <w:r w:rsidR="008E3B41" w:rsidRPr="008E3B41">
        <w:t xml:space="preserve">będą liczone według </w:t>
      </w:r>
      <w:r w:rsidR="008E3B41">
        <w:t xml:space="preserve">następującego </w:t>
      </w:r>
      <w:r w:rsidR="008E3B41" w:rsidRPr="008E3B41">
        <w:t>wzoru</w:t>
      </w:r>
      <w:r w:rsidR="008E3B41">
        <w:t>:</w:t>
      </w:r>
    </w:p>
    <w:p w:rsidR="008E3B41" w:rsidRDefault="008E3B41" w:rsidP="00F747F3">
      <w:pPr>
        <w:pStyle w:val="NormalnyWeb"/>
        <w:spacing w:after="0"/>
        <w:ind w:left="360"/>
        <w:jc w:val="both"/>
        <w:rPr>
          <w:b/>
        </w:rPr>
      </w:pPr>
      <w:r w:rsidRPr="00315A48">
        <w:rPr>
          <w:b/>
        </w:rPr>
        <w:t>Wysokość</w:t>
      </w:r>
      <w:r w:rsidR="00315A48" w:rsidRPr="00315A48">
        <w:rPr>
          <w:b/>
        </w:rPr>
        <w:t xml:space="preserve"> oprocentowan</w:t>
      </w:r>
      <w:r w:rsidR="00315A48">
        <w:rPr>
          <w:b/>
        </w:rPr>
        <w:t>ia kredytu w rachunku bieżącym:</w:t>
      </w:r>
      <w:r w:rsidR="00315A48" w:rsidRPr="00315A48">
        <w:rPr>
          <w:b/>
        </w:rPr>
        <w:t>(PK)=</w:t>
      </w:r>
      <w:r w:rsidR="00315A48">
        <w:rPr>
          <w:b/>
        </w:rPr>
        <w:t>(</w:t>
      </w:r>
      <w:proofErr w:type="spellStart"/>
      <w:r w:rsidR="00315A48">
        <w:rPr>
          <w:b/>
        </w:rPr>
        <w:t>PK</w:t>
      </w:r>
      <w:r w:rsidR="00B63D74">
        <w:rPr>
          <w:b/>
          <w:vertAlign w:val="subscript"/>
        </w:rPr>
        <w:t>w</w:t>
      </w:r>
      <w:proofErr w:type="spellEnd"/>
      <w:r w:rsidR="00315A48">
        <w:rPr>
          <w:b/>
        </w:rPr>
        <w:t>/</w:t>
      </w:r>
      <w:proofErr w:type="spellStart"/>
      <w:r w:rsidR="00315A48">
        <w:rPr>
          <w:b/>
        </w:rPr>
        <w:t>PK</w:t>
      </w:r>
      <w:r w:rsidR="002F0B8F">
        <w:rPr>
          <w:b/>
          <w:vertAlign w:val="subscript"/>
        </w:rPr>
        <w:t>b</w:t>
      </w:r>
      <w:proofErr w:type="spellEnd"/>
      <w:r w:rsidR="00315A48" w:rsidRPr="00315A48">
        <w:rPr>
          <w:b/>
        </w:rPr>
        <w:t xml:space="preserve">) </w:t>
      </w:r>
      <w:r w:rsidR="00D25FB8">
        <w:rPr>
          <w:b/>
        </w:rPr>
        <w:t xml:space="preserve">x100 </w:t>
      </w:r>
      <w:proofErr w:type="spellStart"/>
      <w:r w:rsidR="00D25FB8">
        <w:rPr>
          <w:b/>
        </w:rPr>
        <w:t>pkt</w:t>
      </w:r>
      <w:proofErr w:type="spellEnd"/>
      <w:r w:rsidR="00D25FB8">
        <w:rPr>
          <w:b/>
        </w:rPr>
        <w:t xml:space="preserve"> </w:t>
      </w:r>
      <w:r w:rsidR="00315A48" w:rsidRPr="00315A48">
        <w:rPr>
          <w:b/>
        </w:rPr>
        <w:t>x</w:t>
      </w:r>
      <w:r w:rsidR="00D25FB8">
        <w:rPr>
          <w:b/>
        </w:rPr>
        <w:t xml:space="preserve"> 5%</w:t>
      </w:r>
      <w:r w:rsidR="00315A48">
        <w:rPr>
          <w:b/>
        </w:rPr>
        <w:t xml:space="preserve"> </w:t>
      </w:r>
    </w:p>
    <w:p w:rsidR="00315A48" w:rsidRDefault="00315A48" w:rsidP="00F747F3">
      <w:pPr>
        <w:pStyle w:val="NormalnyWeb"/>
        <w:spacing w:after="0"/>
        <w:ind w:left="360"/>
        <w:jc w:val="both"/>
      </w:pPr>
      <w:r w:rsidRPr="00315A48">
        <w:t>PK – ilość punktów przyznana danej ofercie w kryterium „Wysokość oprocentowania kredytu w rachunku bieżącym”</w:t>
      </w:r>
      <w:r>
        <w:t>;</w:t>
      </w:r>
    </w:p>
    <w:p w:rsidR="008702CD" w:rsidRDefault="008702CD" w:rsidP="00F747F3">
      <w:pPr>
        <w:pStyle w:val="NormalnyWeb"/>
        <w:spacing w:after="0"/>
        <w:ind w:left="360"/>
        <w:jc w:val="both"/>
      </w:pPr>
      <w:proofErr w:type="spellStart"/>
      <w:r>
        <w:t>PK</w:t>
      </w:r>
      <w:r>
        <w:rPr>
          <w:vertAlign w:val="subscript"/>
        </w:rPr>
        <w:t>b</w:t>
      </w:r>
      <w:proofErr w:type="spellEnd"/>
      <w:r>
        <w:t xml:space="preserve"> – oprocentowanie kredytu oferty badanej;</w:t>
      </w:r>
    </w:p>
    <w:p w:rsidR="008702CD" w:rsidRDefault="008702CD" w:rsidP="00F747F3">
      <w:pPr>
        <w:pStyle w:val="NormalnyWeb"/>
        <w:spacing w:after="0"/>
        <w:ind w:left="360"/>
        <w:jc w:val="both"/>
      </w:pPr>
      <w:proofErr w:type="spellStart"/>
      <w:r>
        <w:t>PK</w:t>
      </w:r>
      <w:r w:rsidR="009E2F85">
        <w:rPr>
          <w:vertAlign w:val="subscript"/>
        </w:rPr>
        <w:t>w</w:t>
      </w:r>
      <w:proofErr w:type="spellEnd"/>
      <w:r>
        <w:t xml:space="preserve"> – najwyższe oferowane oprocentowanie kredytu.</w:t>
      </w:r>
    </w:p>
    <w:p w:rsidR="001877CC" w:rsidRPr="008702CD" w:rsidRDefault="001877CC" w:rsidP="00F747F3">
      <w:pPr>
        <w:pStyle w:val="NormalnyWeb"/>
        <w:spacing w:after="0"/>
        <w:ind w:left="360"/>
        <w:jc w:val="both"/>
      </w:pPr>
      <w:r>
        <w:t>Dla umożliwienia oceny ofert należy przyjąć stawkę WIBOR 1 M</w:t>
      </w:r>
      <w:r w:rsidR="002424AE">
        <w:t xml:space="preserve"> na dzień 1</w:t>
      </w:r>
      <w:r w:rsidR="00450126">
        <w:t>4</w:t>
      </w:r>
      <w:r w:rsidR="002424AE">
        <w:t xml:space="preserve"> </w:t>
      </w:r>
      <w:r w:rsidR="00450126">
        <w:t>października</w:t>
      </w:r>
      <w:r w:rsidR="002424AE">
        <w:t xml:space="preserve"> 2021 r. -</w:t>
      </w:r>
      <w:r w:rsidR="00450126">
        <w:t>0,58</w:t>
      </w:r>
      <w:r w:rsidR="002424AE">
        <w:t>%.</w:t>
      </w:r>
    </w:p>
    <w:p w:rsidR="00043575" w:rsidRDefault="008702CD" w:rsidP="00F747F3">
      <w:pPr>
        <w:pStyle w:val="NormalnyWeb"/>
        <w:numPr>
          <w:ilvl w:val="0"/>
          <w:numId w:val="5"/>
        </w:numPr>
        <w:spacing w:after="0"/>
        <w:jc w:val="both"/>
      </w:pPr>
      <w:r>
        <w:t>Za najkorzystniejszą zostanie wybrana oferta Wykonawcy, która uzyska łącznie największą ilość punktów stanowiących sumę przyznanych w ramach każdego kryterium, wyliczoną zgodnie z poniższym wzorem:</w:t>
      </w:r>
    </w:p>
    <w:p w:rsidR="00043575" w:rsidRPr="00D25FB8" w:rsidRDefault="008702CD" w:rsidP="00D25FB8">
      <w:pPr>
        <w:pStyle w:val="NormalnyWeb"/>
        <w:spacing w:after="0"/>
        <w:ind w:left="720"/>
        <w:jc w:val="both"/>
        <w:rPr>
          <w:b/>
        </w:rPr>
      </w:pPr>
      <w:proofErr w:type="spellStart"/>
      <w:r w:rsidRPr="008702CD">
        <w:rPr>
          <w:b/>
        </w:rPr>
        <w:lastRenderedPageBreak/>
        <w:t>P=K+PK</w:t>
      </w:r>
      <w:proofErr w:type="spellEnd"/>
    </w:p>
    <w:p w:rsidR="004103FC" w:rsidRDefault="004103FC" w:rsidP="00F747F3">
      <w:pPr>
        <w:pStyle w:val="NormalnyWeb"/>
        <w:numPr>
          <w:ilvl w:val="0"/>
          <w:numId w:val="5"/>
        </w:numPr>
        <w:spacing w:after="0"/>
        <w:jc w:val="both"/>
      </w:pPr>
      <w:r>
        <w:t>Cena podana w ofercie powinna obejmować wszystkie koszty i składniki związane z wykonaniem zamówienia opisanego w zapytaniu ofertowym.</w:t>
      </w:r>
    </w:p>
    <w:p w:rsidR="000C33EB" w:rsidRDefault="000C33EB" w:rsidP="00F747F3">
      <w:pPr>
        <w:pStyle w:val="NormalnyWeb"/>
        <w:numPr>
          <w:ilvl w:val="0"/>
          <w:numId w:val="5"/>
        </w:numPr>
        <w:spacing w:after="0"/>
        <w:jc w:val="both"/>
      </w:pPr>
      <w:r>
        <w:t>Wraz z ofertą należy złożyć wzór umowy na obsługę bankową</w:t>
      </w:r>
      <w:r w:rsidR="00003240">
        <w:t xml:space="preserve"> budżetu  gminy Trzcianka, jednostek organizacyjnych i instytucji kultury.</w:t>
      </w:r>
    </w:p>
    <w:p w:rsidR="000C33EB" w:rsidRDefault="000C33EB" w:rsidP="000C33EB">
      <w:pPr>
        <w:pStyle w:val="NormalnyWeb"/>
        <w:spacing w:after="0"/>
      </w:pPr>
    </w:p>
    <w:p w:rsidR="000C33EB" w:rsidRDefault="000C33EB" w:rsidP="000C33EB">
      <w:pPr>
        <w:pStyle w:val="NormalnyWeb"/>
        <w:spacing w:after="0"/>
      </w:pPr>
    </w:p>
    <w:p w:rsidR="000C33EB" w:rsidRDefault="000C33EB" w:rsidP="000C33EB">
      <w:pPr>
        <w:pStyle w:val="NormalnyWeb"/>
        <w:spacing w:after="0"/>
      </w:pPr>
    </w:p>
    <w:p w:rsidR="000C33EB" w:rsidRDefault="000C33EB" w:rsidP="000C33EB">
      <w:pPr>
        <w:pStyle w:val="NormalnyWeb"/>
        <w:spacing w:after="0"/>
      </w:pPr>
    </w:p>
    <w:p w:rsidR="00F3583B" w:rsidRDefault="00F3583B"/>
    <w:sectPr w:rsidR="00F3583B" w:rsidSect="00F3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3F"/>
    <w:multiLevelType w:val="multilevel"/>
    <w:tmpl w:val="378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5DE1"/>
    <w:multiLevelType w:val="multilevel"/>
    <w:tmpl w:val="B4B6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06ADE"/>
    <w:multiLevelType w:val="multilevel"/>
    <w:tmpl w:val="0818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1BBE"/>
    <w:multiLevelType w:val="multilevel"/>
    <w:tmpl w:val="0818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F1270"/>
    <w:multiLevelType w:val="multilevel"/>
    <w:tmpl w:val="25D0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D41CE"/>
    <w:multiLevelType w:val="multilevel"/>
    <w:tmpl w:val="749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D7B9D"/>
    <w:multiLevelType w:val="multilevel"/>
    <w:tmpl w:val="1266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3EB"/>
    <w:rsid w:val="00003240"/>
    <w:rsid w:val="00014AA0"/>
    <w:rsid w:val="00027448"/>
    <w:rsid w:val="00043575"/>
    <w:rsid w:val="000C33EB"/>
    <w:rsid w:val="0013282D"/>
    <w:rsid w:val="00137C1E"/>
    <w:rsid w:val="00154D70"/>
    <w:rsid w:val="001877CC"/>
    <w:rsid w:val="001B09E7"/>
    <w:rsid w:val="001C276F"/>
    <w:rsid w:val="0021458F"/>
    <w:rsid w:val="002424AE"/>
    <w:rsid w:val="0024310B"/>
    <w:rsid w:val="00257D1D"/>
    <w:rsid w:val="00264DAC"/>
    <w:rsid w:val="00277B99"/>
    <w:rsid w:val="002A4B91"/>
    <w:rsid w:val="002C2998"/>
    <w:rsid w:val="002F0B8F"/>
    <w:rsid w:val="00315A48"/>
    <w:rsid w:val="00355D20"/>
    <w:rsid w:val="00381EC8"/>
    <w:rsid w:val="00392AE8"/>
    <w:rsid w:val="00393179"/>
    <w:rsid w:val="004103FC"/>
    <w:rsid w:val="004139DD"/>
    <w:rsid w:val="00416DAD"/>
    <w:rsid w:val="00442D25"/>
    <w:rsid w:val="00450126"/>
    <w:rsid w:val="004B1563"/>
    <w:rsid w:val="00502246"/>
    <w:rsid w:val="00563322"/>
    <w:rsid w:val="00575232"/>
    <w:rsid w:val="0057725D"/>
    <w:rsid w:val="005A6A6D"/>
    <w:rsid w:val="005E5B27"/>
    <w:rsid w:val="005F6699"/>
    <w:rsid w:val="0063265B"/>
    <w:rsid w:val="006751D7"/>
    <w:rsid w:val="006B1675"/>
    <w:rsid w:val="0075572D"/>
    <w:rsid w:val="00755FA3"/>
    <w:rsid w:val="00761AFC"/>
    <w:rsid w:val="007E14AB"/>
    <w:rsid w:val="007F4518"/>
    <w:rsid w:val="00826873"/>
    <w:rsid w:val="008702CD"/>
    <w:rsid w:val="0089757B"/>
    <w:rsid w:val="008C3CF2"/>
    <w:rsid w:val="008E3B41"/>
    <w:rsid w:val="009E2F85"/>
    <w:rsid w:val="00A0664D"/>
    <w:rsid w:val="00A32324"/>
    <w:rsid w:val="00A86FC3"/>
    <w:rsid w:val="00AB178E"/>
    <w:rsid w:val="00AD22C2"/>
    <w:rsid w:val="00B032EC"/>
    <w:rsid w:val="00B21E25"/>
    <w:rsid w:val="00B27F0F"/>
    <w:rsid w:val="00B63D74"/>
    <w:rsid w:val="00B91F45"/>
    <w:rsid w:val="00B92BBD"/>
    <w:rsid w:val="00BD0C7C"/>
    <w:rsid w:val="00BE1E49"/>
    <w:rsid w:val="00C13CFC"/>
    <w:rsid w:val="00C4739D"/>
    <w:rsid w:val="00CB111D"/>
    <w:rsid w:val="00CC7F18"/>
    <w:rsid w:val="00D031DB"/>
    <w:rsid w:val="00D25FB8"/>
    <w:rsid w:val="00D836C7"/>
    <w:rsid w:val="00D87055"/>
    <w:rsid w:val="00E31854"/>
    <w:rsid w:val="00E52DF4"/>
    <w:rsid w:val="00E60505"/>
    <w:rsid w:val="00E618A9"/>
    <w:rsid w:val="00E9526E"/>
    <w:rsid w:val="00F3583B"/>
    <w:rsid w:val="00F66257"/>
    <w:rsid w:val="00F71A62"/>
    <w:rsid w:val="00F747F3"/>
    <w:rsid w:val="00F83655"/>
    <w:rsid w:val="00FA72B7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0C33EB"/>
    <w:rPr>
      <w:i/>
      <w:iCs/>
    </w:rPr>
  </w:style>
  <w:style w:type="character" w:styleId="Pogrubienie">
    <w:name w:val="Strong"/>
    <w:basedOn w:val="Domylnaczcionkaakapitu"/>
    <w:uiPriority w:val="22"/>
    <w:qFormat/>
    <w:rsid w:val="000C33EB"/>
    <w:rPr>
      <w:b/>
      <w:bCs/>
    </w:rPr>
  </w:style>
  <w:style w:type="paragraph" w:styleId="NormalnyWeb">
    <w:name w:val="Normal (Web)"/>
    <w:basedOn w:val="Normalny"/>
    <w:uiPriority w:val="99"/>
    <w:unhideWhenUsed/>
    <w:rsid w:val="000C33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jzienko</dc:creator>
  <cp:lastModifiedBy>jzienko</cp:lastModifiedBy>
  <cp:revision>34</cp:revision>
  <cp:lastPrinted>2021-09-13T12:47:00Z</cp:lastPrinted>
  <dcterms:created xsi:type="dcterms:W3CDTF">2021-09-02T09:32:00Z</dcterms:created>
  <dcterms:modified xsi:type="dcterms:W3CDTF">2021-10-15T07:09:00Z</dcterms:modified>
</cp:coreProperties>
</file>