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574C86">
        <w:rPr>
          <w:rFonts w:asciiTheme="minorHAnsi" w:hAnsiTheme="minorHAnsi" w:cstheme="minorHAnsi"/>
          <w:b/>
          <w:sz w:val="24"/>
          <w:szCs w:val="24"/>
        </w:rPr>
        <w:t>2</w:t>
      </w:r>
      <w:r w:rsidRPr="00A25C60">
        <w:rPr>
          <w:rFonts w:asciiTheme="minorHAnsi" w:hAnsiTheme="minorHAnsi" w:cstheme="minorHAnsi"/>
          <w:b/>
          <w:sz w:val="24"/>
          <w:szCs w:val="24"/>
        </w:rPr>
        <w:t>.2022.DA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(na każdą część </w:t>
      </w:r>
      <w:r w:rsidR="0091198E" w:rsidRPr="0091198E">
        <w:rPr>
          <w:rFonts w:asciiTheme="minorHAnsi" w:hAnsiTheme="minorHAnsi" w:cstheme="minorHAnsi"/>
          <w:b/>
          <w:sz w:val="26"/>
          <w:szCs w:val="26"/>
          <w:u w:val="single"/>
        </w:rPr>
        <w:t>osobno</w:t>
      </w:r>
      <w:r w:rsidR="0091198E">
        <w:rPr>
          <w:rFonts w:asciiTheme="minorHAnsi" w:hAnsiTheme="minorHAnsi" w:cstheme="minorHAnsi"/>
          <w:b/>
          <w:sz w:val="26"/>
          <w:szCs w:val="26"/>
        </w:rPr>
        <w:t>)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574C86">
        <w:rPr>
          <w:rFonts w:asciiTheme="minorHAnsi" w:hAnsiTheme="minorHAnsi" w:cstheme="minorHAnsi"/>
          <w:b/>
          <w:iCs/>
          <w:sz w:val="24"/>
          <w:szCs w:val="24"/>
        </w:rPr>
        <w:t>Zakup sprzętu i oprogramowania</w:t>
      </w:r>
      <w:r>
        <w:rPr>
          <w:rFonts w:asciiTheme="minorHAnsi" w:hAnsiTheme="minorHAnsi" w:cstheme="minorHAnsi"/>
          <w:b/>
          <w:iCs/>
          <w:sz w:val="24"/>
          <w:szCs w:val="24"/>
        </w:rPr>
        <w:t>, część ….*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2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2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74C86" w:rsidRDefault="00574C86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AD5D5A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C4E13"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sz w:val="18"/>
          <w:szCs w:val="18"/>
        </w:rPr>
        <w:t>, dla której skł</w:t>
      </w:r>
      <w:bookmarkStart w:id="3" w:name="_GoBack"/>
      <w:bookmarkEnd w:id="3"/>
      <w:r w:rsidRPr="00AD5D5A">
        <w:rPr>
          <w:rFonts w:asciiTheme="minorHAnsi" w:hAnsiTheme="minorHAnsi" w:cstheme="minorHAnsi"/>
          <w:sz w:val="18"/>
          <w:szCs w:val="18"/>
        </w:rPr>
        <w:t xml:space="preserve">adane jest oświadczenie. Oświadczenie należy złożyć </w:t>
      </w:r>
      <w:r w:rsidRPr="00C23266">
        <w:rPr>
          <w:rFonts w:asciiTheme="minorHAnsi" w:hAnsiTheme="minorHAnsi" w:cstheme="minorHAnsi"/>
          <w:b/>
          <w:sz w:val="18"/>
          <w:szCs w:val="18"/>
          <w:u w:val="single"/>
        </w:rPr>
        <w:t>na każdą część osobno</w:t>
      </w:r>
      <w:r w:rsidRPr="00AD5D5A">
        <w:rPr>
          <w:rFonts w:asciiTheme="minorHAnsi" w:hAnsiTheme="minorHAnsi" w:cstheme="minorHAnsi"/>
          <w:sz w:val="18"/>
          <w:szCs w:val="18"/>
        </w:rPr>
        <w:t>.</w:t>
      </w: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6778-DA40-4F57-9AD4-5B4DD03C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3</cp:revision>
  <cp:lastPrinted>2018-02-07T13:32:00Z</cp:lastPrinted>
  <dcterms:created xsi:type="dcterms:W3CDTF">2022-08-23T06:15:00Z</dcterms:created>
  <dcterms:modified xsi:type="dcterms:W3CDTF">2022-08-29T09:59:00Z</dcterms:modified>
</cp:coreProperties>
</file>