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0E0" w14:textId="3290F017" w:rsidR="003C7E27" w:rsidRPr="00FD3655" w:rsidRDefault="00DD5045" w:rsidP="007A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0E0CB9">
        <w:rPr>
          <w:rFonts w:ascii="Times New Roman" w:hAnsi="Times New Roman" w:cs="Times New Roman"/>
          <w:b/>
          <w:sz w:val="24"/>
          <w:szCs w:val="24"/>
        </w:rPr>
        <w:t>6</w:t>
      </w:r>
      <w:r w:rsidR="007A09B7">
        <w:rPr>
          <w:rFonts w:ascii="Times New Roman" w:hAnsi="Times New Roman" w:cs="Times New Roman"/>
          <w:b/>
          <w:sz w:val="24"/>
          <w:szCs w:val="24"/>
        </w:rPr>
        <w:t>.1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2BEDA5A5" w:rsidR="008E0765" w:rsidRPr="00FD3655" w:rsidRDefault="004E2D14" w:rsidP="003073E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EE170B" w:rsidRPr="00EE170B">
        <w:rPr>
          <w:b w:val="0"/>
          <w:sz w:val="24"/>
          <w:szCs w:val="24"/>
        </w:rPr>
        <w:t>„</w:t>
      </w:r>
      <w:bookmarkStart w:id="0" w:name="_Hlk98064578"/>
      <w:r w:rsidR="00EE170B" w:rsidRPr="00EE170B">
        <w:rPr>
          <w:b w:val="0"/>
          <w:sz w:val="24"/>
          <w:szCs w:val="24"/>
        </w:rPr>
        <w:t>Budowa systemu zarządzania ruchem w Świnoujściu</w:t>
      </w:r>
      <w:bookmarkEnd w:id="0"/>
      <w:r w:rsidR="00EE170B" w:rsidRPr="00EE170B">
        <w:rPr>
          <w:b w:val="0"/>
          <w:sz w:val="24"/>
          <w:szCs w:val="24"/>
        </w:rPr>
        <w:t>”.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09ED4115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>fektywne, profesjonalne i rzetelne świadczenie usług w zakresie zarządzania procese</w:t>
      </w:r>
      <w:bookmarkStart w:id="1" w:name="_GoBack"/>
      <w:bookmarkEnd w:id="1"/>
      <w:r w:rsidR="008E0765" w:rsidRPr="00FD3655">
        <w:rPr>
          <w:b w:val="0"/>
          <w:sz w:val="24"/>
          <w:szCs w:val="24"/>
        </w:rPr>
        <w:t xml:space="preserve">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816351">
        <w:rPr>
          <w:b w:val="0"/>
          <w:sz w:val="24"/>
          <w:szCs w:val="24"/>
        </w:rPr>
        <w:t xml:space="preserve">systemu ITS w Świnoujściu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0CF9E5A9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0D330697" w:rsidR="00680B04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79909955" w14:textId="1CB95148" w:rsidR="00681C74" w:rsidRDefault="00681C74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 </w:t>
      </w:r>
      <w:r w:rsidRPr="00681C74">
        <w:rPr>
          <w:rFonts w:ascii="Times" w:hAnsi="Times" w:cs="Times"/>
          <w:sz w:val="24"/>
          <w:szCs w:val="24"/>
        </w:rPr>
        <w:t>71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24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80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00-8</w:t>
      </w:r>
      <w:r>
        <w:rPr>
          <w:rFonts w:ascii="Times" w:hAnsi="Times" w:cs="Times"/>
          <w:sz w:val="24"/>
          <w:szCs w:val="24"/>
        </w:rPr>
        <w:t xml:space="preserve"> - n</w:t>
      </w:r>
      <w:r w:rsidRPr="00681C74">
        <w:rPr>
          <w:rFonts w:ascii="Times" w:hAnsi="Times" w:cs="Times"/>
          <w:sz w:val="24"/>
          <w:szCs w:val="24"/>
        </w:rPr>
        <w:t>adzór nad projektem i dokumentacją</w:t>
      </w:r>
      <w:r>
        <w:rPr>
          <w:rFonts w:ascii="Times" w:hAnsi="Times" w:cs="Times"/>
          <w:sz w:val="24"/>
          <w:szCs w:val="24"/>
        </w:rPr>
        <w:t>,</w:t>
      </w:r>
    </w:p>
    <w:p w14:paraId="492E818D" w14:textId="188F5C3B" w:rsidR="008B3F57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- 79 42 11 00-2 – usługi nadzoru na projektem inne niż w zakresie robót budowlanych,</w:t>
      </w:r>
    </w:p>
    <w:p w14:paraId="4ED214BB" w14:textId="530EDD49" w:rsidR="00681C74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- 71 63 00 00-3 – usługi kontroli i nadzoru technicznego</w:t>
      </w:r>
    </w:p>
    <w:p w14:paraId="08CDA016" w14:textId="77777777" w:rsidR="00681C74" w:rsidRPr="00FD3655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b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0098CFD1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</w:t>
      </w:r>
      <w:r w:rsidR="002C0C57">
        <w:rPr>
          <w:rFonts w:ascii="Times New Roman" w:hAnsi="Times New Roman" w:cs="Times New Roman"/>
          <w:sz w:val="24"/>
          <w:szCs w:val="24"/>
        </w:rPr>
        <w:t xml:space="preserve"> (PFU)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1B033C20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2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2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4DF36921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591A2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C270E52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038B73B2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520C9E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>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6C1ADD61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0C57">
        <w:rPr>
          <w:rFonts w:ascii="Times New Roman" w:hAnsi="Times New Roman" w:cs="Times New Roman"/>
          <w:sz w:val="24"/>
          <w:szCs w:val="24"/>
        </w:rPr>
        <w:t>1740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0C57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1 r. poz. </w:t>
      </w:r>
      <w:r w:rsidR="002C0C57">
        <w:rPr>
          <w:rFonts w:ascii="Times New Roman" w:hAnsi="Times New Roman" w:cs="Times New Roman"/>
          <w:sz w:val="24"/>
          <w:szCs w:val="24"/>
        </w:rPr>
        <w:t>2351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1 r. poz. </w:t>
      </w:r>
      <w:r w:rsidR="002C0C57">
        <w:rPr>
          <w:rFonts w:ascii="Times New Roman" w:hAnsi="Times New Roman" w:cs="Times New Roman"/>
          <w:sz w:val="24"/>
          <w:szCs w:val="24"/>
        </w:rPr>
        <w:t xml:space="preserve">1129 </w:t>
      </w:r>
      <w:proofErr w:type="spellStart"/>
      <w:r w:rsidR="002C0C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0C57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0BEB08F5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</w:t>
      </w:r>
      <w:r w:rsidR="004F4F81">
        <w:rPr>
          <w:rFonts w:ascii="Times New Roman" w:hAnsi="Times New Roman" w:cs="Times New Roman"/>
          <w:sz w:val="24"/>
          <w:szCs w:val="24"/>
        </w:rPr>
        <w:t xml:space="preserve">projektowej oraz dokumentacji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z prowadzonych robót (realizowanej przez wykonawców robót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>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6EB249A3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3A934355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umów (m.in. zmiany umów, </w:t>
      </w:r>
      <w:r w:rsidR="004F4F81">
        <w:rPr>
          <w:rFonts w:ascii="Times New Roman" w:hAnsi="Times New Roman" w:cs="Times New Roman"/>
          <w:sz w:val="24"/>
          <w:szCs w:val="24"/>
        </w:rPr>
        <w:t>zamówień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F4F81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3414961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2C0C57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="00666D53">
        <w:rPr>
          <w:rFonts w:ascii="Times New Roman" w:hAnsi="Times New Roman" w:cs="Times New Roman"/>
          <w:sz w:val="24"/>
          <w:szCs w:val="24"/>
        </w:rPr>
        <w:t xml:space="preserve"> 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5FA8E454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35094296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4A145E55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2D3E907" w14:textId="2D6482C5" w:rsidR="004F4F81" w:rsidRDefault="004F4F81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</w:t>
      </w:r>
      <w:r w:rsidR="004462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przekazanej przez Wykonawcę Inwestycji w terminie </w:t>
      </w:r>
      <w:r w:rsidR="00446283">
        <w:rPr>
          <w:rFonts w:ascii="Times New Roman" w:hAnsi="Times New Roman" w:cs="Times New Roman"/>
          <w:sz w:val="24"/>
          <w:szCs w:val="24"/>
        </w:rPr>
        <w:t xml:space="preserve">7 dni i przekazanie uwag Zamawiającemu; </w:t>
      </w:r>
    </w:p>
    <w:p w14:paraId="6C1259E6" w14:textId="0C556604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446283">
        <w:rPr>
          <w:rFonts w:ascii="Times New Roman" w:hAnsi="Times New Roman" w:cs="Times New Roman"/>
          <w:sz w:val="24"/>
          <w:szCs w:val="24"/>
        </w:rPr>
        <w:t>terenie prac Kierownika zespołu IK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EE018B">
        <w:rPr>
          <w:rFonts w:ascii="Times New Roman" w:hAnsi="Times New Roman" w:cs="Times New Roman"/>
          <w:sz w:val="24"/>
          <w:szCs w:val="24"/>
        </w:rPr>
        <w:t>3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44628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jest zawieszone;</w:t>
      </w:r>
    </w:p>
    <w:p w14:paraId="170FAF17" w14:textId="0328C568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</w:t>
      </w:r>
      <w:r w:rsidR="005C26AD">
        <w:rPr>
          <w:rFonts w:ascii="Times New Roman" w:hAnsi="Times New Roman" w:cs="Times New Roman"/>
          <w:sz w:val="24"/>
          <w:szCs w:val="24"/>
        </w:rPr>
        <w:t>terenie inwestycji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67BBCD95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Inżynierii Ruchu Drogowego i systemów ITS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 xml:space="preserve">w tygodniu 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0D6ED6A0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automatyki przemysłowej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446283">
        <w:rPr>
          <w:rFonts w:ascii="Times New Roman" w:hAnsi="Times New Roman" w:cs="Times New Roman"/>
          <w:sz w:val="24"/>
          <w:szCs w:val="24"/>
        </w:rPr>
        <w:t>automatyką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3626138E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446283">
        <w:rPr>
          <w:rFonts w:ascii="Times New Roman" w:hAnsi="Times New Roman" w:cs="Times New Roman"/>
          <w:sz w:val="24"/>
          <w:szCs w:val="24"/>
        </w:rPr>
        <w:t>eksperta ds. oprogramowania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</w:t>
      </w:r>
      <w:r w:rsidR="000E3EC6">
        <w:rPr>
          <w:rFonts w:ascii="Times New Roman" w:hAnsi="Times New Roman" w:cs="Times New Roman"/>
          <w:sz w:val="24"/>
          <w:szCs w:val="24"/>
        </w:rPr>
        <w:t xml:space="preserve">w okresie wykonywania prac </w:t>
      </w:r>
      <w:r w:rsidR="00F64D5E" w:rsidRPr="00FD3655">
        <w:rPr>
          <w:rFonts w:ascii="Times New Roman" w:hAnsi="Times New Roman" w:cs="Times New Roman"/>
          <w:sz w:val="24"/>
          <w:szCs w:val="24"/>
        </w:rPr>
        <w:t>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75B2FFF4" w:rsidR="0048346E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446283">
        <w:rPr>
          <w:rFonts w:ascii="Times New Roman" w:hAnsi="Times New Roman" w:cs="Times New Roman"/>
          <w:sz w:val="24"/>
          <w:szCs w:val="24"/>
        </w:rPr>
        <w:t>nadzoru ds. telekomunikacji oraz sieciowych urządzeń aktywnych</w:t>
      </w:r>
      <w:r w:rsidR="00086C6F">
        <w:rPr>
          <w:rFonts w:ascii="Times New Roman" w:hAnsi="Times New Roman" w:cs="Times New Roman"/>
          <w:sz w:val="24"/>
          <w:szCs w:val="24"/>
        </w:rPr>
        <w:t xml:space="preserve"> i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="00086C6F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46283">
        <w:rPr>
          <w:rFonts w:ascii="Times New Roman" w:hAnsi="Times New Roman" w:cs="Times New Roman"/>
          <w:sz w:val="24"/>
          <w:szCs w:val="24"/>
        </w:rPr>
        <w:t xml:space="preserve">sieci </w:t>
      </w:r>
      <w:r w:rsidR="00086C6F">
        <w:rPr>
          <w:rFonts w:ascii="Times New Roman" w:hAnsi="Times New Roman" w:cs="Times New Roman"/>
          <w:sz w:val="24"/>
          <w:szCs w:val="24"/>
        </w:rPr>
        <w:t>teleinformatyczn</w:t>
      </w:r>
      <w:r w:rsidR="00446283">
        <w:rPr>
          <w:rFonts w:ascii="Times New Roman" w:hAnsi="Times New Roman" w:cs="Times New Roman"/>
          <w:sz w:val="24"/>
          <w:szCs w:val="24"/>
        </w:rPr>
        <w:t>ych</w:t>
      </w:r>
      <w:r w:rsidRPr="00A41CB7">
        <w:rPr>
          <w:rFonts w:ascii="Times New Roman" w:hAnsi="Times New Roman" w:cs="Times New Roman"/>
          <w:sz w:val="24"/>
          <w:szCs w:val="24"/>
        </w:rPr>
        <w:t xml:space="preserve"> </w:t>
      </w:r>
      <w:r w:rsidR="000E3EC6">
        <w:rPr>
          <w:rFonts w:ascii="Times New Roman" w:hAnsi="Times New Roman" w:cs="Times New Roman"/>
          <w:sz w:val="24"/>
          <w:szCs w:val="24"/>
        </w:rPr>
        <w:t xml:space="preserve">min. 4 dni robocze w tygodniu po 4 godziny dziennie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 w:rsidR="00086C6F"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029A29" w14:textId="2620B47E" w:rsidR="00446283" w:rsidRPr="00271094" w:rsidRDefault="00446283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specjalista ds. monitoringu wizyjnego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</w:t>
      </w:r>
      <w:r w:rsidRPr="00FD3655">
        <w:rPr>
          <w:rFonts w:ascii="Times New Roman" w:hAnsi="Times New Roman" w:cs="Times New Roman"/>
          <w:sz w:val="24"/>
          <w:szCs w:val="24"/>
        </w:rPr>
        <w:t>3 dni robocze w tygodniu po 3 godziny dziennie w godzinach pracy Zamawiającego tj. między 7:30 a 15:30</w:t>
      </w:r>
    </w:p>
    <w:p w14:paraId="1FD2ACEF" w14:textId="3A9D506C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uprawieniach nie niższych niż osoby wskazane w umowie, w celu unikania przestojów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odbiorze robót budowlanych lub wykonywaniu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ulegających zakryciu,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  <w:r w:rsidR="00446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2773244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086C6F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6A7DBB5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dokumentacją projektową, pozwoleniami, uzgodnieniami, przepisami prawa 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D907340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A34F68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536744E5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="001977B0" w:rsidRPr="00FD3655">
        <w:rPr>
          <w:rFonts w:ascii="Times New Roman" w:hAnsi="Times New Roman" w:cs="Times New Roman"/>
          <w:sz w:val="24"/>
          <w:szCs w:val="24"/>
        </w:rPr>
        <w:t>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2A3BB655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446283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15192EC8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2CECD63B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2BA734A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>,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62CFB490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</w:t>
      </w:r>
      <w:r w:rsidR="00AC3710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5A272E3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612608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E27B13">
        <w:rPr>
          <w:rFonts w:ascii="Times New Roman" w:hAnsi="Times New Roman" w:cs="Times New Roman"/>
          <w:sz w:val="24"/>
          <w:szCs w:val="24"/>
        </w:rPr>
        <w:t xml:space="preserve"> (jeżeli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103BA8" w:rsidRPr="00FD3655">
        <w:rPr>
          <w:rFonts w:ascii="Times New Roman" w:hAnsi="Times New Roman" w:cs="Times New Roman"/>
          <w:sz w:val="24"/>
          <w:szCs w:val="24"/>
        </w:rPr>
        <w:t>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27141E8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</w:t>
      </w:r>
      <w:r w:rsidR="00E27B13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przebiega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E86778" w:rsidRPr="00FD3655">
        <w:rPr>
          <w:rFonts w:ascii="Times New Roman" w:hAnsi="Times New Roman" w:cs="Times New Roman"/>
          <w:sz w:val="24"/>
          <w:szCs w:val="24"/>
        </w:rPr>
        <w:t>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1ED2F5E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 xml:space="preserve">ia i wznowienia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3F12ACF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E27B13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53B4136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 w sytuacji przewidzianej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4C1D82F2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określeniem utraty wartości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097ABC29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35F6FEA5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EC13DD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47857D9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250C386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336B6839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C745B0" w:rsidRPr="00FD3655">
        <w:rPr>
          <w:rFonts w:ascii="Times New Roman" w:hAnsi="Times New Roman" w:cs="Times New Roman"/>
          <w:sz w:val="24"/>
          <w:szCs w:val="24"/>
        </w:rPr>
        <w:t>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54F2D0EB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324C44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5B2089B6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E27B13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dokumentacji powykonawczej na zrealizowany zakres;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4B67AC" w:rsidRPr="00FD3655">
        <w:rPr>
          <w:rFonts w:ascii="Times New Roman" w:hAnsi="Times New Roman" w:cs="Times New Roman"/>
          <w:sz w:val="24"/>
          <w:szCs w:val="24"/>
        </w:rPr>
        <w:t>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49B56D64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BD4604" w:rsidRPr="00FD3655">
        <w:rPr>
          <w:rFonts w:ascii="Times New Roman" w:hAnsi="Times New Roman" w:cs="Times New Roman"/>
          <w:sz w:val="24"/>
          <w:szCs w:val="24"/>
        </w:rPr>
        <w:t>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305D5E2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3FB46D19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9E3E81" w:rsidRPr="00FD3655">
        <w:rPr>
          <w:rFonts w:ascii="Times New Roman" w:hAnsi="Times New Roman" w:cs="Times New Roman"/>
          <w:sz w:val="24"/>
          <w:szCs w:val="24"/>
        </w:rPr>
        <w:t>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47929E6E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="00414016">
        <w:rPr>
          <w:rFonts w:ascii="Times New Roman" w:hAnsi="Times New Roman" w:cs="Times New Roman"/>
          <w:sz w:val="24"/>
          <w:szCs w:val="24"/>
        </w:rPr>
        <w:t xml:space="preserve">w, wyrobów i innych </w:t>
      </w:r>
      <w:r w:rsidRPr="00FD3655">
        <w:rPr>
          <w:rFonts w:ascii="Times New Roman" w:hAnsi="Times New Roman" w:cs="Times New Roman"/>
          <w:sz w:val="24"/>
          <w:szCs w:val="24"/>
        </w:rPr>
        <w:t>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6ED811E5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D7481C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3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rocznie, </w:t>
      </w:r>
      <w:bookmarkEnd w:id="3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61E979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E27B1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4FCD64EC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>wad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4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5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545E551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0DC5697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przedstawieniem zaawansowania udziału i rozliczeń z podwykonawcami, dostawcami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593301A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proponowanych zmian z określeniem szacunkowej wartości oraz wpływu na termin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3EBA638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 zadania inwestycyjnego i będzie sporządzony i dostarczony Zamawiającemu w terminie 7 dni  </w:t>
      </w:r>
      <w:r w:rsidRPr="00FD3655">
        <w:rPr>
          <w:rFonts w:ascii="Times New Roman" w:hAnsi="Times New Roman" w:cs="Times New Roman"/>
          <w:sz w:val="24"/>
          <w:szCs w:val="24"/>
        </w:rPr>
        <w:lastRenderedPageBreak/>
        <w:t>od dnia zidentyfikowania tych trudności przez którąkolwiek ze stron biorących udział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6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ED9A4A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382448E9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7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8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5409BB08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2B88B2CD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9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9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F1FA" w14:textId="77777777" w:rsidR="00C53974" w:rsidRDefault="00C53974" w:rsidP="002D4AAD">
      <w:pPr>
        <w:spacing w:after="0" w:line="240" w:lineRule="auto"/>
      </w:pPr>
      <w:r>
        <w:separator/>
      </w:r>
    </w:p>
  </w:endnote>
  <w:endnote w:type="continuationSeparator" w:id="0">
    <w:p w14:paraId="27AF1C1C" w14:textId="77777777" w:rsidR="00C53974" w:rsidRDefault="00C53974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2EA69AE1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B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9A50" w14:textId="77777777" w:rsidR="00C53974" w:rsidRDefault="00C53974" w:rsidP="002D4AAD">
      <w:pPr>
        <w:spacing w:after="0" w:line="240" w:lineRule="auto"/>
      </w:pPr>
      <w:r>
        <w:separator/>
      </w:r>
    </w:p>
  </w:footnote>
  <w:footnote w:type="continuationSeparator" w:id="0">
    <w:p w14:paraId="474D21FE" w14:textId="77777777" w:rsidR="00C53974" w:rsidRDefault="00C53974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21517A36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6C6F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0CB9"/>
    <w:rsid w:val="000E105A"/>
    <w:rsid w:val="000E3EC6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306E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67A3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0C57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4016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6283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4F81"/>
    <w:rsid w:val="004F50BB"/>
    <w:rsid w:val="004F5983"/>
    <w:rsid w:val="004F5FD5"/>
    <w:rsid w:val="00502261"/>
    <w:rsid w:val="0050316D"/>
    <w:rsid w:val="0050337D"/>
    <w:rsid w:val="00506A56"/>
    <w:rsid w:val="005112A4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1A2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26A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66D53"/>
    <w:rsid w:val="006700F4"/>
    <w:rsid w:val="00672B80"/>
    <w:rsid w:val="00674EF0"/>
    <w:rsid w:val="00680B04"/>
    <w:rsid w:val="006811F1"/>
    <w:rsid w:val="00681AB8"/>
    <w:rsid w:val="00681C74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6351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4F68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C5CC6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3974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27B13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70B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01CF-F3C5-435A-A2BF-CB488FE2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5572</Words>
  <Characters>33438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Kaczmarek Monika</cp:lastModifiedBy>
  <cp:revision>7</cp:revision>
  <cp:lastPrinted>2020-06-10T08:07:00Z</cp:lastPrinted>
  <dcterms:created xsi:type="dcterms:W3CDTF">2022-03-28T11:59:00Z</dcterms:created>
  <dcterms:modified xsi:type="dcterms:W3CDTF">2022-06-01T09:11:00Z</dcterms:modified>
</cp:coreProperties>
</file>